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仿宋_GB2312" w:hAnsi="仿宋_GB2312" w:eastAsia="仿宋_GB2312" w:cs="仿宋_GB2312"/>
          <w:color w:val="auto"/>
          <w:sz w:val="36"/>
          <w:szCs w:val="36"/>
          <w:highlight w:val="none"/>
          <w:lang w:val="en-US" w:eastAsia="zh-CN"/>
        </w:rPr>
      </w:pPr>
      <w:bookmarkStart w:id="4" w:name="_GoBack"/>
      <w:bookmarkEnd w:id="4"/>
      <w:r>
        <w:rPr>
          <w:rFonts w:hint="eastAsia" w:ascii="仿宋_GB2312" w:hAnsi="仿宋_GB2312" w:eastAsia="仿宋_GB2312" w:cs="仿宋_GB2312"/>
          <w:color w:val="auto"/>
          <w:sz w:val="36"/>
          <w:szCs w:val="36"/>
          <w:highlight w:val="none"/>
          <w:lang w:val="en-US" w:eastAsia="zh-CN"/>
        </w:rPr>
        <w:t xml:space="preserve">  </w:t>
      </w:r>
    </w:p>
    <w:p>
      <w:pPr>
        <w:rPr>
          <w:rFonts w:ascii="仿宋_GB2312" w:hAnsi="仿宋_GB2312" w:eastAsia="仿宋_GB2312" w:cs="仿宋_GB2312"/>
          <w:color w:val="auto"/>
          <w:sz w:val="36"/>
          <w:szCs w:val="36"/>
          <w:highlight w:val="none"/>
        </w:rPr>
      </w:pPr>
    </w:p>
    <w:p>
      <w:pPr>
        <w:rPr>
          <w:rFonts w:ascii="仿宋_GB2312" w:hAnsi="仿宋_GB2312" w:eastAsia="仿宋_GB2312" w:cs="仿宋_GB2312"/>
          <w:color w:val="auto"/>
          <w:sz w:val="36"/>
          <w:szCs w:val="36"/>
          <w:highlight w:val="none"/>
        </w:rPr>
      </w:pPr>
    </w:p>
    <w:p>
      <w:pPr>
        <w:adjustRightInd w:val="0"/>
        <w:snapToGrid w:val="0"/>
        <w:jc w:val="center"/>
        <w:outlineLvl w:val="0"/>
        <w:rPr>
          <w:rFonts w:hint="eastAsia" w:ascii="宋体" w:hAnsi="宋体" w:eastAsia="宋体" w:cs="宋体"/>
          <w:b/>
          <w:bCs w:val="0"/>
          <w:color w:val="auto"/>
          <w:sz w:val="72"/>
          <w:szCs w:val="72"/>
          <w:highlight w:val="none"/>
          <w:lang w:eastAsia="zh-CN"/>
        </w:rPr>
      </w:pPr>
      <w:r>
        <w:rPr>
          <w:rFonts w:hint="eastAsia" w:ascii="宋体" w:hAnsi="宋体" w:eastAsia="宋体" w:cs="宋体"/>
          <w:b/>
          <w:bCs w:val="0"/>
          <w:color w:val="auto"/>
          <w:sz w:val="72"/>
          <w:szCs w:val="72"/>
          <w:highlight w:val="none"/>
        </w:rPr>
        <w:t>建设项目环境影响报告表</w:t>
      </w:r>
    </w:p>
    <w:p>
      <w:pPr>
        <w:adjustRightInd w:val="0"/>
        <w:snapToGrid w:val="0"/>
        <w:spacing w:before="192" w:beforeLines="80"/>
        <w:jc w:val="center"/>
        <w:rPr>
          <w:rFonts w:ascii="楷体_GB2312" w:eastAsia="楷体_GB2312"/>
          <w:bCs/>
          <w:color w:val="auto"/>
          <w:sz w:val="48"/>
          <w:szCs w:val="48"/>
          <w:highlight w:val="none"/>
        </w:rPr>
      </w:pPr>
      <w:r>
        <w:rPr>
          <w:rFonts w:hint="eastAsia" w:ascii="楷体_GB2312" w:eastAsia="楷体_GB2312"/>
          <w:bCs/>
          <w:color w:val="auto"/>
          <w:sz w:val="48"/>
          <w:szCs w:val="48"/>
          <w:highlight w:val="none"/>
        </w:rPr>
        <w:t>（</w:t>
      </w:r>
      <w:r>
        <w:rPr>
          <w:rFonts w:hint="eastAsia" w:ascii="楷体_GB2312" w:eastAsia="楷体_GB2312"/>
          <w:bCs/>
          <w:color w:val="auto"/>
          <w:sz w:val="48"/>
          <w:szCs w:val="48"/>
          <w:highlight w:val="none"/>
          <w:lang w:eastAsia="zh-CN"/>
        </w:rPr>
        <w:t>生态</w:t>
      </w:r>
      <w:r>
        <w:rPr>
          <w:rFonts w:hint="eastAsia" w:ascii="楷体_GB2312" w:eastAsia="楷体_GB2312"/>
          <w:bCs/>
          <w:color w:val="auto"/>
          <w:sz w:val="48"/>
          <w:szCs w:val="48"/>
          <w:highlight w:val="none"/>
        </w:rPr>
        <w:t>影响类）</w:t>
      </w:r>
    </w:p>
    <w:p>
      <w:pPr>
        <w:adjustRightInd w:val="0"/>
        <w:snapToGrid w:val="0"/>
        <w:spacing w:line="288" w:lineRule="auto"/>
        <w:jc w:val="center"/>
        <w:outlineLvl w:val="9"/>
        <w:rPr>
          <w:rFonts w:ascii="华文仿宋" w:hAnsi="华文仿宋" w:eastAsia="华文仿宋" w:cs="华文仿宋"/>
          <w:color w:val="auto"/>
          <w:kern w:val="44"/>
          <w:sz w:val="44"/>
          <w:szCs w:val="44"/>
          <w:highlight w:val="none"/>
        </w:rPr>
      </w:pPr>
    </w:p>
    <w:p>
      <w:pPr>
        <w:jc w:val="center"/>
        <w:rPr>
          <w:rFonts w:eastAsia="仿宋"/>
          <w:color w:val="auto"/>
          <w:sz w:val="52"/>
          <w:szCs w:val="52"/>
          <w:highlight w:val="none"/>
        </w:rPr>
      </w:pPr>
    </w:p>
    <w:p>
      <w:pPr>
        <w:pStyle w:val="47"/>
        <w:rPr>
          <w:rFonts w:eastAsia="仿宋"/>
          <w:color w:val="auto"/>
          <w:sz w:val="44"/>
          <w:szCs w:val="44"/>
          <w:highlight w:val="none"/>
        </w:rPr>
      </w:pPr>
    </w:p>
    <w:p>
      <w:pPr>
        <w:ind w:firstLine="1040"/>
        <w:rPr>
          <w:rFonts w:eastAsia="仿宋"/>
          <w:color w:val="auto"/>
          <w:sz w:val="44"/>
          <w:szCs w:val="44"/>
          <w:highlight w:val="none"/>
        </w:rPr>
      </w:pPr>
    </w:p>
    <w:p>
      <w:pPr>
        <w:pStyle w:val="13"/>
        <w:rPr>
          <w:rFonts w:eastAsia="仿宋"/>
          <w:color w:val="auto"/>
          <w:sz w:val="44"/>
          <w:szCs w:val="44"/>
          <w:highlight w:val="none"/>
        </w:rPr>
      </w:pPr>
    </w:p>
    <w:p>
      <w:pPr>
        <w:rPr>
          <w:rFonts w:eastAsia="仿宋"/>
          <w:color w:val="auto"/>
          <w:sz w:val="44"/>
          <w:szCs w:val="44"/>
          <w:highlight w:val="none"/>
        </w:rPr>
      </w:pPr>
    </w:p>
    <w:p>
      <w:pPr>
        <w:pStyle w:val="13"/>
        <w:rPr>
          <w:color w:val="auto"/>
        </w:rPr>
      </w:pPr>
    </w:p>
    <w:p>
      <w:pPr>
        <w:rPr>
          <w:rFonts w:eastAsia="仿宋"/>
          <w:color w:val="auto"/>
          <w:sz w:val="44"/>
          <w:szCs w:val="44"/>
          <w:highlight w:val="none"/>
        </w:rPr>
      </w:pPr>
    </w:p>
    <w:p>
      <w:pPr>
        <w:pStyle w:val="13"/>
        <w:rPr>
          <w:rFonts w:eastAsia="仿宋"/>
          <w:color w:val="auto"/>
          <w:sz w:val="44"/>
          <w:szCs w:val="44"/>
          <w:highlight w:val="none"/>
        </w:rPr>
      </w:pPr>
    </w:p>
    <w:p>
      <w:pPr>
        <w:rPr>
          <w:color w:val="auto"/>
          <w:highlight w:val="none"/>
        </w:rPr>
      </w:pPr>
    </w:p>
    <w:p>
      <w:pPr>
        <w:adjustRightInd w:val="0"/>
        <w:snapToGrid w:val="0"/>
        <w:spacing w:line="288" w:lineRule="auto"/>
        <w:ind w:firstLine="360" w:firstLineChars="100"/>
        <w:rPr>
          <w:rFonts w:hint="default" w:eastAsia="仿宋_GB2312" w:cs="Times New Roman"/>
          <w:b w:val="0"/>
          <w:bCs w:val="0"/>
          <w:color w:val="auto"/>
          <w:sz w:val="36"/>
          <w:szCs w:val="36"/>
          <w:highlight w:val="none"/>
          <w:u w:val="single"/>
          <w:lang w:val="en-US" w:eastAsia="zh-CN"/>
        </w:rPr>
      </w:pPr>
      <w:r>
        <w:rPr>
          <w:rFonts w:hint="eastAsia" w:ascii="仿宋_GB2312" w:eastAsia="仿宋_GB2312"/>
          <w:color w:val="auto"/>
          <w:sz w:val="36"/>
          <w:szCs w:val="36"/>
          <w:highlight w:val="none"/>
        </w:rPr>
        <w:t>项目名称</w:t>
      </w:r>
      <w:r>
        <w:rPr>
          <w:rFonts w:hint="eastAsia" w:ascii="仿宋_GB2312" w:eastAsia="仿宋_GB2312"/>
          <w:color w:val="auto"/>
          <w:sz w:val="36"/>
          <w:szCs w:val="36"/>
          <w:highlight w:val="none"/>
          <w:lang w:eastAsia="zh-CN"/>
        </w:rPr>
        <w:t>：</w:t>
      </w:r>
      <w:r>
        <w:rPr>
          <w:rFonts w:hint="eastAsia" w:ascii="仿宋_GB2312" w:eastAsia="仿宋_GB2312"/>
          <w:color w:val="auto"/>
          <w:sz w:val="36"/>
          <w:szCs w:val="36"/>
          <w:highlight w:val="none"/>
          <w:u w:val="single"/>
          <w:lang w:val="en-US" w:eastAsia="zh-CN"/>
        </w:rPr>
        <w:t xml:space="preserve">  泾源县菌菇产业融合发展建设项目      </w:t>
      </w:r>
    </w:p>
    <w:p>
      <w:pPr>
        <w:adjustRightInd w:val="0"/>
        <w:snapToGrid w:val="0"/>
        <w:spacing w:line="288" w:lineRule="auto"/>
        <w:ind w:firstLine="360" w:firstLineChars="100"/>
        <w:rPr>
          <w:rFonts w:hint="default" w:eastAsia="仿宋_GB2312" w:cs="Times New Roman"/>
          <w:b w:val="0"/>
          <w:bCs w:val="0"/>
          <w:color w:val="auto"/>
          <w:sz w:val="36"/>
          <w:szCs w:val="36"/>
          <w:highlight w:val="none"/>
          <w:u w:val="single"/>
          <w:lang w:val="en-US" w:eastAsia="zh-CN"/>
        </w:rPr>
      </w:pPr>
      <w:r>
        <w:rPr>
          <w:rFonts w:hint="eastAsia" w:ascii="仿宋_GB2312" w:eastAsia="仿宋_GB2312"/>
          <w:color w:val="auto"/>
          <w:sz w:val="36"/>
          <w:szCs w:val="36"/>
          <w:highlight w:val="none"/>
        </w:rPr>
        <w:t>建设单位（盖章）：</w:t>
      </w:r>
      <w:r>
        <w:rPr>
          <w:rFonts w:hint="eastAsia" w:eastAsia="仿宋_GB2312" w:cs="Times New Roman"/>
          <w:b w:val="0"/>
          <w:bCs w:val="0"/>
          <w:color w:val="auto"/>
          <w:sz w:val="36"/>
          <w:szCs w:val="36"/>
          <w:highlight w:val="none"/>
          <w:u w:val="single"/>
          <w:lang w:val="en-US" w:eastAsia="zh-CN"/>
        </w:rPr>
        <w:t xml:space="preserve">   泾源县农业农村局             </w:t>
      </w:r>
    </w:p>
    <w:p>
      <w:pPr>
        <w:adjustRightInd w:val="0"/>
        <w:snapToGrid w:val="0"/>
        <w:spacing w:line="288" w:lineRule="auto"/>
        <w:ind w:firstLine="360" w:firstLineChars="100"/>
        <w:rPr>
          <w:rFonts w:hint="eastAsia" w:ascii="仿宋_GB2312" w:eastAsia="仿宋_GB2312"/>
          <w:b w:val="0"/>
          <w:bCs w:val="0"/>
          <w:color w:val="auto"/>
          <w:sz w:val="36"/>
          <w:szCs w:val="36"/>
          <w:highlight w:val="none"/>
          <w:u w:val="single"/>
          <w:lang w:val="en-US" w:eastAsia="zh-CN"/>
        </w:rPr>
      </w:pPr>
      <w:r>
        <w:rPr>
          <w:rFonts w:hint="eastAsia" w:ascii="仿宋_GB2312" w:eastAsia="仿宋_GB2312"/>
          <w:color w:val="auto"/>
          <w:sz w:val="36"/>
          <w:szCs w:val="36"/>
          <w:highlight w:val="none"/>
        </w:rPr>
        <w:t>编制日期：</w:t>
      </w:r>
      <w:r>
        <w:rPr>
          <w:rFonts w:hint="eastAsia" w:ascii="仿宋_GB2312" w:eastAsia="仿宋_GB2312"/>
          <w:b w:val="0"/>
          <w:bCs w:val="0"/>
          <w:color w:val="auto"/>
          <w:sz w:val="36"/>
          <w:szCs w:val="36"/>
          <w:highlight w:val="none"/>
          <w:u w:val="single"/>
        </w:rPr>
        <w:t xml:space="preserve"> </w:t>
      </w:r>
      <w:r>
        <w:rPr>
          <w:rFonts w:ascii="仿宋_GB2312" w:eastAsia="仿宋_GB2312"/>
          <w:b w:val="0"/>
          <w:bCs w:val="0"/>
          <w:color w:val="auto"/>
          <w:sz w:val="36"/>
          <w:szCs w:val="36"/>
          <w:highlight w:val="none"/>
          <w:u w:val="single"/>
        </w:rPr>
        <w:t xml:space="preserve">     </w:t>
      </w:r>
      <w:r>
        <w:rPr>
          <w:rFonts w:hint="default" w:ascii="Times New Roman" w:hAnsi="Times New Roman" w:eastAsia="仿宋_GB2312" w:cs="Times New Roman"/>
          <w:b w:val="0"/>
          <w:bCs w:val="0"/>
          <w:color w:val="auto"/>
          <w:sz w:val="36"/>
          <w:szCs w:val="36"/>
          <w:highlight w:val="none"/>
          <w:u w:val="single"/>
        </w:rPr>
        <w:t xml:space="preserve"> </w:t>
      </w:r>
      <w:r>
        <w:rPr>
          <w:rFonts w:hint="eastAsia" w:eastAsia="仿宋_GB2312" w:cs="Times New Roman"/>
          <w:b w:val="0"/>
          <w:bCs w:val="0"/>
          <w:color w:val="auto"/>
          <w:sz w:val="36"/>
          <w:szCs w:val="36"/>
          <w:highlight w:val="none"/>
          <w:u w:val="single"/>
          <w:lang w:val="en-US" w:eastAsia="zh-CN"/>
        </w:rPr>
        <w:t xml:space="preserve">     </w:t>
      </w:r>
      <w:r>
        <w:rPr>
          <w:rFonts w:hint="default" w:ascii="Times New Roman" w:hAnsi="Times New Roman" w:eastAsia="仿宋_GB2312" w:cs="Times New Roman"/>
          <w:b w:val="0"/>
          <w:bCs w:val="0"/>
          <w:color w:val="auto"/>
          <w:sz w:val="36"/>
          <w:szCs w:val="36"/>
          <w:highlight w:val="none"/>
          <w:u w:val="single"/>
        </w:rPr>
        <w:t>202</w:t>
      </w:r>
      <w:r>
        <w:rPr>
          <w:rFonts w:hint="eastAsia" w:eastAsia="仿宋_GB2312" w:cs="Times New Roman"/>
          <w:b w:val="0"/>
          <w:bCs w:val="0"/>
          <w:color w:val="auto"/>
          <w:sz w:val="36"/>
          <w:szCs w:val="36"/>
          <w:highlight w:val="none"/>
          <w:u w:val="single"/>
          <w:lang w:val="en-US" w:eastAsia="zh-CN"/>
        </w:rPr>
        <w:t>6</w:t>
      </w:r>
      <w:r>
        <w:rPr>
          <w:rFonts w:hint="default" w:ascii="Times New Roman" w:hAnsi="Times New Roman" w:eastAsia="仿宋_GB2312" w:cs="Times New Roman"/>
          <w:b w:val="0"/>
          <w:bCs w:val="0"/>
          <w:color w:val="auto"/>
          <w:sz w:val="36"/>
          <w:szCs w:val="36"/>
          <w:highlight w:val="none"/>
          <w:u w:val="single"/>
        </w:rPr>
        <w:t>年</w:t>
      </w:r>
      <w:r>
        <w:rPr>
          <w:rFonts w:hint="eastAsia" w:eastAsia="仿宋_GB2312" w:cs="Times New Roman"/>
          <w:b w:val="0"/>
          <w:bCs w:val="0"/>
          <w:color w:val="auto"/>
          <w:sz w:val="36"/>
          <w:szCs w:val="36"/>
          <w:highlight w:val="none"/>
          <w:u w:val="single"/>
          <w:lang w:val="en-US" w:eastAsia="zh-CN"/>
        </w:rPr>
        <w:t>1</w:t>
      </w:r>
      <w:r>
        <w:rPr>
          <w:rFonts w:hint="default" w:ascii="Times New Roman" w:hAnsi="Times New Roman" w:eastAsia="仿宋_GB2312" w:cs="Times New Roman"/>
          <w:b w:val="0"/>
          <w:bCs w:val="0"/>
          <w:color w:val="auto"/>
          <w:sz w:val="36"/>
          <w:szCs w:val="36"/>
          <w:highlight w:val="none"/>
          <w:u w:val="single"/>
        </w:rPr>
        <w:t>月</w:t>
      </w:r>
      <w:r>
        <w:rPr>
          <w:rFonts w:hint="eastAsia" w:eastAsia="仿宋_GB2312" w:cs="Times New Roman"/>
          <w:b w:val="0"/>
          <w:bCs w:val="0"/>
          <w:color w:val="auto"/>
          <w:sz w:val="36"/>
          <w:szCs w:val="36"/>
          <w:highlight w:val="none"/>
          <w:u w:val="single"/>
          <w:lang w:val="en-US" w:eastAsia="zh-CN"/>
        </w:rPr>
        <w:t xml:space="preserve">          </w:t>
      </w:r>
      <w:r>
        <w:rPr>
          <w:rFonts w:hint="default" w:ascii="Times New Roman" w:hAnsi="Times New Roman" w:eastAsia="仿宋_GB2312" w:cs="Times New Roman"/>
          <w:b w:val="0"/>
          <w:bCs w:val="0"/>
          <w:color w:val="auto"/>
          <w:sz w:val="36"/>
          <w:szCs w:val="36"/>
          <w:highlight w:val="none"/>
          <w:u w:val="single"/>
        </w:rPr>
        <w:t xml:space="preserve">  </w:t>
      </w:r>
      <w:r>
        <w:rPr>
          <w:rFonts w:ascii="仿宋_GB2312" w:eastAsia="仿宋_GB2312"/>
          <w:b w:val="0"/>
          <w:bCs w:val="0"/>
          <w:color w:val="auto"/>
          <w:sz w:val="36"/>
          <w:szCs w:val="36"/>
          <w:highlight w:val="none"/>
          <w:u w:val="single"/>
        </w:rPr>
        <w:t xml:space="preserve">   </w:t>
      </w:r>
      <w:r>
        <w:rPr>
          <w:rFonts w:hint="eastAsia" w:ascii="仿宋_GB2312" w:eastAsia="仿宋_GB2312"/>
          <w:b w:val="0"/>
          <w:bCs w:val="0"/>
          <w:color w:val="auto"/>
          <w:sz w:val="36"/>
          <w:szCs w:val="36"/>
          <w:highlight w:val="none"/>
          <w:u w:val="single"/>
          <w:lang w:val="en-US" w:eastAsia="zh-CN"/>
        </w:rPr>
        <w:t xml:space="preserve"> </w:t>
      </w:r>
    </w:p>
    <w:p>
      <w:pPr>
        <w:adjustRightInd w:val="0"/>
        <w:snapToGrid w:val="0"/>
        <w:spacing w:line="288" w:lineRule="auto"/>
        <w:ind w:firstLine="1040"/>
        <w:rPr>
          <w:rFonts w:ascii="仿宋_GB2312" w:eastAsia="仿宋_GB2312"/>
          <w:color w:val="auto"/>
          <w:sz w:val="36"/>
          <w:szCs w:val="36"/>
          <w:highlight w:val="none"/>
          <w:u w:val="single"/>
        </w:rPr>
      </w:pPr>
      <w:bookmarkStart w:id="0" w:name="_Hlk57884087"/>
    </w:p>
    <w:p>
      <w:pPr>
        <w:pStyle w:val="13"/>
        <w:rPr>
          <w:rFonts w:ascii="仿宋_GB2312" w:eastAsia="仿宋_GB2312"/>
          <w:color w:val="auto"/>
          <w:sz w:val="36"/>
          <w:szCs w:val="36"/>
          <w:highlight w:val="none"/>
          <w:u w:val="single"/>
        </w:rPr>
      </w:pPr>
    </w:p>
    <w:p>
      <w:pPr>
        <w:pStyle w:val="13"/>
        <w:rPr>
          <w:color w:val="auto"/>
        </w:rPr>
      </w:pPr>
    </w:p>
    <w:p>
      <w:pPr>
        <w:rPr>
          <w:rFonts w:ascii="仿宋_GB2312" w:eastAsia="仿宋_GB2312"/>
          <w:color w:val="auto"/>
          <w:sz w:val="36"/>
          <w:szCs w:val="36"/>
          <w:highlight w:val="none"/>
        </w:rPr>
      </w:pPr>
    </w:p>
    <w:bookmarkEnd w:id="0"/>
    <w:p>
      <w:pPr>
        <w:adjustRightInd w:val="0"/>
        <w:snapToGrid w:val="0"/>
        <w:spacing w:line="288" w:lineRule="auto"/>
        <w:jc w:val="center"/>
        <w:rPr>
          <w:rFonts w:ascii="仿宋_GB2312" w:eastAsia="仿宋_GB2312"/>
          <w:color w:val="auto"/>
          <w:sz w:val="36"/>
          <w:szCs w:val="36"/>
          <w:highlight w:val="none"/>
        </w:rPr>
        <w:sectPr>
          <w:headerReference r:id="rId3" w:type="default"/>
          <w:footerReference r:id="rId4" w:type="default"/>
          <w:footerReference r:id="rId5" w:type="even"/>
          <w:pgSz w:w="11906" w:h="16838"/>
          <w:pgMar w:top="1701" w:right="1417" w:bottom="1701" w:left="1417" w:header="851" w:footer="1077" w:gutter="0"/>
          <w:pgBorders>
            <w:top w:val="none" w:sz="0" w:space="0"/>
            <w:left w:val="none" w:sz="0" w:space="0"/>
            <w:bottom w:val="none" w:sz="0" w:space="0"/>
            <w:right w:val="none" w:sz="0" w:space="0"/>
          </w:pgBorders>
          <w:pgNumType w:fmt="numberInDash" w:start="3"/>
          <w:cols w:space="720" w:num="1"/>
          <w:docGrid w:linePitch="312" w:charSpace="0"/>
        </w:sectPr>
      </w:pPr>
      <w:r>
        <w:rPr>
          <w:rFonts w:hint="eastAsia" w:ascii="楷体_GB2312" w:eastAsia="楷体_GB2312"/>
          <w:color w:val="auto"/>
          <w:sz w:val="36"/>
          <w:szCs w:val="36"/>
          <w:highlight w:val="none"/>
        </w:rPr>
        <w:t>中华人民共和国生态环境部制</w:t>
      </w:r>
    </w:p>
    <w:p>
      <w:pPr>
        <w:keepNext w:val="0"/>
        <w:keepLines w:val="0"/>
        <w:pageBreakBefore w:val="0"/>
        <w:widowControl w:val="0"/>
        <w:kinsoku/>
        <w:wordWrap/>
        <w:overflowPunct/>
        <w:topLinePunct w:val="0"/>
        <w:autoSpaceDE/>
        <w:autoSpaceDN/>
        <w:bidi w:val="0"/>
        <w:adjustRightInd/>
        <w:snapToGrid/>
        <w:jc w:val="center"/>
        <w:textAlignment w:val="auto"/>
        <w:outlineLvl w:val="0"/>
        <w:rPr>
          <w:rFonts w:ascii="黑体" w:hAnsi="黑体" w:eastAsia="黑体"/>
          <w:snapToGrid w:val="0"/>
          <w:color w:val="auto"/>
          <w:kern w:val="0"/>
          <w:sz w:val="30"/>
          <w:szCs w:val="30"/>
          <w:highlight w:val="none"/>
        </w:rPr>
      </w:pPr>
      <w:r>
        <w:rPr>
          <w:rFonts w:hint="eastAsia" w:ascii="黑体" w:hAnsi="黑体" w:eastAsia="黑体" w:cs="Times New Roman"/>
          <w:snapToGrid w:val="0"/>
          <w:color w:val="auto"/>
          <w:kern w:val="0"/>
          <w:sz w:val="30"/>
          <w:szCs w:val="30"/>
          <w:highlight w:val="none"/>
          <w:lang w:val="en-US" w:eastAsia="zh-CN" w:bidi="ar-SA"/>
        </w:rPr>
        <w:t>一、建设项目基本情况</w:t>
      </w:r>
    </w:p>
    <w:tbl>
      <w:tblPr>
        <w:tblStyle w:val="35"/>
        <w:tblW w:w="911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547"/>
        <w:gridCol w:w="2830"/>
        <w:gridCol w:w="1818"/>
        <w:gridCol w:w="29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45" w:hRule="atLeast"/>
          <w:jc w:val="center"/>
        </w:trPr>
        <w:tc>
          <w:tcPr>
            <w:tcW w:w="1547" w:type="dxa"/>
            <w:tcBorders>
              <w:tl2br w:val="nil"/>
              <w:tr2bl w:val="nil"/>
            </w:tcBorders>
            <w:tcMar>
              <w:top w:w="16" w:type="dxa"/>
              <w:left w:w="16" w:type="dxa"/>
              <w:right w:w="16" w:type="dxa"/>
            </w:tcMar>
            <w:vAlign w:val="center"/>
          </w:tcPr>
          <w:p>
            <w:pPr>
              <w:adjustRightInd w:val="0"/>
              <w:snapToGrid w:val="0"/>
              <w:spacing w:line="240" w:lineRule="auto"/>
              <w:jc w:val="center"/>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b/>
                <w:bCs/>
                <w:color w:val="auto"/>
                <w:sz w:val="24"/>
                <w:highlight w:val="none"/>
              </w:rPr>
              <w:t>建设项目名称</w:t>
            </w:r>
          </w:p>
        </w:tc>
        <w:tc>
          <w:tcPr>
            <w:tcW w:w="7563" w:type="dxa"/>
            <w:gridSpan w:val="3"/>
            <w:tcBorders>
              <w:tl2br w:val="nil"/>
              <w:tr2bl w:val="nil"/>
            </w:tcBorders>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泾源县菌菇产业融合发展建设项目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1547" w:type="dxa"/>
            <w:tcBorders>
              <w:tl2br w:val="nil"/>
              <w:tr2bl w:val="nil"/>
            </w:tcBorders>
            <w:tcMar>
              <w:top w:w="16" w:type="dxa"/>
              <w:left w:w="16" w:type="dxa"/>
              <w:right w:w="16" w:type="dxa"/>
            </w:tcMar>
            <w:vAlign w:val="center"/>
          </w:tcPr>
          <w:p>
            <w:pPr>
              <w:adjustRightInd w:val="0"/>
              <w:snapToGrid w:val="0"/>
              <w:spacing w:line="240" w:lineRule="auto"/>
              <w:jc w:val="center"/>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b/>
                <w:bCs/>
                <w:color w:val="auto"/>
                <w:sz w:val="24"/>
                <w:highlight w:val="none"/>
              </w:rPr>
              <w:t>项目代码</w:t>
            </w:r>
          </w:p>
        </w:tc>
        <w:tc>
          <w:tcPr>
            <w:tcW w:w="7563" w:type="dxa"/>
            <w:gridSpan w:val="3"/>
            <w:tcBorders>
              <w:tl2br w:val="nil"/>
              <w:tr2bl w:val="nil"/>
            </w:tcBorders>
            <w:vAlign w:val="center"/>
          </w:tcPr>
          <w:p>
            <w:pPr>
              <w:keepNext w:val="0"/>
              <w:keepLines w:val="0"/>
              <w:widowControl/>
              <w:suppressLineNumbers w:val="0"/>
              <w:spacing w:line="240" w:lineRule="auto"/>
              <w:jc w:val="center"/>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2508-640424-20-01-675641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80" w:hRule="atLeast"/>
          <w:jc w:val="center"/>
        </w:trPr>
        <w:tc>
          <w:tcPr>
            <w:tcW w:w="1547" w:type="dxa"/>
            <w:tcBorders>
              <w:tl2br w:val="nil"/>
              <w:tr2bl w:val="nil"/>
            </w:tcBorders>
            <w:tcMar>
              <w:top w:w="16" w:type="dxa"/>
              <w:left w:w="16" w:type="dxa"/>
              <w:right w:w="16" w:type="dxa"/>
            </w:tcMar>
            <w:vAlign w:val="center"/>
          </w:tcPr>
          <w:p>
            <w:pPr>
              <w:adjustRightInd w:val="0"/>
              <w:snapToGrid w:val="0"/>
              <w:spacing w:line="240" w:lineRule="auto"/>
              <w:jc w:val="center"/>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b/>
                <w:bCs/>
                <w:color w:val="auto"/>
                <w:spacing w:val="-20"/>
                <w:sz w:val="24"/>
                <w:highlight w:val="none"/>
              </w:rPr>
              <w:t>建设单位联系人</w:t>
            </w:r>
          </w:p>
        </w:tc>
        <w:tc>
          <w:tcPr>
            <w:tcW w:w="2830" w:type="dxa"/>
            <w:tcBorders>
              <w:tl2br w:val="nil"/>
              <w:tr2bl w:val="nil"/>
            </w:tcBorders>
            <w:vAlign w:val="center"/>
          </w:tcPr>
          <w:p>
            <w:pPr>
              <w:adjustRightInd w:val="0"/>
              <w:snapToGrid w:val="0"/>
              <w:spacing w:line="240" w:lineRule="auto"/>
              <w:jc w:val="center"/>
              <w:rPr>
                <w:rFonts w:hint="default" w:ascii="Times New Roman" w:hAnsi="Times New Roman" w:eastAsia="仿宋_GB2312" w:cs="Times New Roman"/>
                <w:color w:val="auto"/>
                <w:sz w:val="24"/>
                <w:highlight w:val="none"/>
                <w:lang w:val="en-US" w:eastAsia="zh-CN"/>
              </w:rPr>
            </w:pPr>
            <w:r>
              <w:rPr>
                <w:rFonts w:hint="eastAsia" w:eastAsia="仿宋_GB2312" w:cs="Times New Roman"/>
                <w:color w:val="auto"/>
                <w:sz w:val="24"/>
                <w:highlight w:val="none"/>
                <w:lang w:val="en-US" w:eastAsia="zh-CN"/>
              </w:rPr>
              <w:t>马建民</w:t>
            </w:r>
          </w:p>
        </w:tc>
        <w:tc>
          <w:tcPr>
            <w:tcW w:w="1818" w:type="dxa"/>
            <w:tcBorders>
              <w:tl2br w:val="nil"/>
              <w:tr2bl w:val="nil"/>
            </w:tcBorders>
            <w:vAlign w:val="center"/>
          </w:tcPr>
          <w:p>
            <w:pPr>
              <w:adjustRightInd w:val="0"/>
              <w:snapToGrid w:val="0"/>
              <w:spacing w:line="240" w:lineRule="auto"/>
              <w:jc w:val="center"/>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b/>
                <w:bCs/>
                <w:color w:val="auto"/>
                <w:sz w:val="24"/>
                <w:highlight w:val="none"/>
              </w:rPr>
              <w:t>联系方式</w:t>
            </w:r>
          </w:p>
        </w:tc>
        <w:tc>
          <w:tcPr>
            <w:tcW w:w="2915" w:type="dxa"/>
            <w:tcBorders>
              <w:tl2br w:val="nil"/>
              <w:tr2bl w:val="nil"/>
            </w:tcBorders>
            <w:vAlign w:val="center"/>
          </w:tcPr>
          <w:p>
            <w:pPr>
              <w:adjustRightInd w:val="0"/>
              <w:snapToGrid w:val="0"/>
              <w:spacing w:line="240" w:lineRule="auto"/>
              <w:jc w:val="center"/>
              <w:rPr>
                <w:rFonts w:hint="default" w:ascii="Times New Roman" w:hAnsi="Times New Roman" w:eastAsia="仿宋_GB2312" w:cs="Times New Roman"/>
                <w:color w:val="auto"/>
                <w:sz w:val="24"/>
                <w:highlight w:val="none"/>
                <w:lang w:val="en-US" w:eastAsia="zh-CN"/>
              </w:rPr>
            </w:pPr>
            <w:r>
              <w:rPr>
                <w:rFonts w:hint="default" w:eastAsia="仿宋_GB2312" w:cs="Times New Roman"/>
                <w:color w:val="auto"/>
                <w:sz w:val="24"/>
                <w:highlight w:val="none"/>
                <w:lang w:val="en-US" w:eastAsia="zh-CN"/>
              </w:rPr>
              <w:t>13649575659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89" w:hRule="atLeast"/>
          <w:jc w:val="center"/>
        </w:trPr>
        <w:tc>
          <w:tcPr>
            <w:tcW w:w="1547" w:type="dxa"/>
            <w:tcBorders>
              <w:tl2br w:val="nil"/>
              <w:tr2bl w:val="nil"/>
            </w:tcBorders>
            <w:tcMar>
              <w:top w:w="16" w:type="dxa"/>
              <w:left w:w="16" w:type="dxa"/>
              <w:right w:w="16" w:type="dxa"/>
            </w:tcMar>
            <w:vAlign w:val="center"/>
          </w:tcPr>
          <w:p>
            <w:pPr>
              <w:adjustRightInd w:val="0"/>
              <w:snapToGrid w:val="0"/>
              <w:spacing w:line="240" w:lineRule="auto"/>
              <w:jc w:val="center"/>
              <w:rPr>
                <w:rFonts w:hint="default" w:ascii="Times New Roman" w:hAnsi="Times New Roman" w:eastAsia="仿宋_GB2312" w:cs="Times New Roman"/>
                <w:b/>
                <w:bCs/>
                <w:color w:val="auto"/>
                <w:sz w:val="24"/>
                <w:highlight w:val="none"/>
              </w:rPr>
            </w:pPr>
            <w:r>
              <w:rPr>
                <w:rFonts w:hint="default" w:ascii="Times New Roman" w:hAnsi="Times New Roman" w:eastAsia="仿宋_GB2312" w:cs="Times New Roman"/>
                <w:b/>
                <w:bCs/>
                <w:color w:val="auto"/>
                <w:sz w:val="24"/>
                <w:highlight w:val="none"/>
              </w:rPr>
              <w:t>建设地点</w:t>
            </w:r>
          </w:p>
        </w:tc>
        <w:tc>
          <w:tcPr>
            <w:tcW w:w="7563" w:type="dxa"/>
            <w:gridSpan w:val="3"/>
            <w:tcBorders>
              <w:tl2br w:val="nil"/>
              <w:tr2bl w:val="nil"/>
            </w:tcBorders>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仿宋_GB2312" w:cs="Times New Roman"/>
                <w:color w:val="auto"/>
                <w:sz w:val="24"/>
                <w:highlight w:val="none"/>
                <w:lang w:val="en-US" w:eastAsia="zh-CN"/>
              </w:rPr>
            </w:pPr>
            <w:r>
              <w:rPr>
                <w:rFonts w:hint="eastAsia" w:eastAsia="仿宋_GB2312" w:cs="Times New Roman"/>
                <w:color w:val="auto"/>
                <w:sz w:val="24"/>
                <w:highlight w:val="none"/>
                <w:lang w:val="en-US" w:eastAsia="zh-CN"/>
              </w:rPr>
              <w:t>宁夏回族自治区固原市泾源县黄花乡沙塘村和羊槽村、新民乡马河滩村、大湾乡牛营村、香水镇卡子村米岗村、兴盛乡兴盛村、泾河源镇白面村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16" w:hRule="atLeast"/>
          <w:jc w:val="center"/>
        </w:trPr>
        <w:tc>
          <w:tcPr>
            <w:tcW w:w="1547" w:type="dxa"/>
            <w:tcBorders>
              <w:tl2br w:val="nil"/>
              <w:tr2bl w:val="nil"/>
            </w:tcBorders>
            <w:tcMar>
              <w:top w:w="16" w:type="dxa"/>
              <w:left w:w="16" w:type="dxa"/>
              <w:right w:w="16" w:type="dxa"/>
            </w:tcMar>
            <w:vAlign w:val="center"/>
          </w:tcPr>
          <w:p>
            <w:pPr>
              <w:adjustRightInd w:val="0"/>
              <w:snapToGrid w:val="0"/>
              <w:spacing w:line="240" w:lineRule="auto"/>
              <w:jc w:val="center"/>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b/>
                <w:bCs/>
                <w:color w:val="auto"/>
                <w:sz w:val="24"/>
                <w:highlight w:val="none"/>
                <w:lang w:val="en-US" w:eastAsia="zh-CN"/>
              </w:rPr>
              <w:t>地理坐标</w:t>
            </w:r>
          </w:p>
        </w:tc>
        <w:tc>
          <w:tcPr>
            <w:tcW w:w="7563" w:type="dxa"/>
            <w:gridSpan w:val="3"/>
            <w:tcBorders>
              <w:tl2br w:val="nil"/>
              <w:tr2bl w:val="nil"/>
            </w:tcBorders>
            <w:vAlign w:val="center"/>
          </w:tcPr>
          <w:p>
            <w:pPr>
              <w:snapToGrid w:val="0"/>
              <w:spacing w:line="240" w:lineRule="auto"/>
              <w:jc w:val="center"/>
              <w:rPr>
                <w:rFonts w:hint="default"/>
                <w:color w:val="auto"/>
                <w:highlight w:val="none"/>
                <w:lang w:val="en-US" w:eastAsia="zh-CN"/>
              </w:rPr>
            </w:pPr>
            <w:r>
              <w:rPr>
                <w:rFonts w:hint="eastAsia" w:ascii="黑体" w:hAnsi="黑体" w:eastAsia="黑体" w:cs="Times New Roman"/>
                <w:snapToGrid w:val="0"/>
                <w:color w:val="auto"/>
                <w:kern w:val="0"/>
                <w:sz w:val="24"/>
                <w:szCs w:val="24"/>
                <w:highlight w:val="none"/>
                <w:lang w:val="en-US" w:eastAsia="zh-CN" w:bidi="ar-SA"/>
              </w:rPr>
              <w:fldChar w:fldCharType="begin"/>
            </w:r>
            <w:r>
              <w:rPr>
                <w:rFonts w:hint="eastAsia" w:ascii="黑体" w:hAnsi="黑体" w:eastAsia="黑体" w:cs="Times New Roman"/>
                <w:snapToGrid w:val="0"/>
                <w:color w:val="auto"/>
                <w:kern w:val="0"/>
                <w:sz w:val="24"/>
                <w:szCs w:val="24"/>
                <w:highlight w:val="none"/>
                <w:lang w:val="en-US" w:eastAsia="zh-CN" w:bidi="ar-SA"/>
              </w:rPr>
              <w:instrText xml:space="preserve"> = 1 \* GB3 \* MERGEFORMAT </w:instrText>
            </w:r>
            <w:r>
              <w:rPr>
                <w:rFonts w:hint="eastAsia" w:ascii="黑体" w:hAnsi="黑体" w:eastAsia="黑体" w:cs="Times New Roman"/>
                <w:snapToGrid w:val="0"/>
                <w:color w:val="auto"/>
                <w:kern w:val="0"/>
                <w:sz w:val="24"/>
                <w:szCs w:val="24"/>
                <w:highlight w:val="none"/>
                <w:lang w:val="en-US" w:eastAsia="zh-CN" w:bidi="ar-SA"/>
              </w:rPr>
              <w:fldChar w:fldCharType="separate"/>
            </w:r>
            <w:r>
              <w:rPr>
                <w:color w:val="auto"/>
                <w:sz w:val="24"/>
                <w:szCs w:val="24"/>
              </w:rPr>
              <w:t>①</w:t>
            </w:r>
            <w:r>
              <w:rPr>
                <w:rFonts w:hint="eastAsia" w:ascii="黑体" w:hAnsi="黑体" w:eastAsia="黑体" w:cs="Times New Roman"/>
                <w:snapToGrid w:val="0"/>
                <w:color w:val="auto"/>
                <w:kern w:val="0"/>
                <w:sz w:val="24"/>
                <w:szCs w:val="24"/>
                <w:highlight w:val="none"/>
                <w:lang w:val="en-US" w:eastAsia="zh-CN" w:bidi="ar-SA"/>
              </w:rPr>
              <w:fldChar w:fldCharType="end"/>
            </w:r>
            <w:r>
              <w:rPr>
                <w:rFonts w:hint="eastAsia" w:eastAsia="仿宋_GB2312" w:cs="Times New Roman"/>
                <w:color w:val="auto"/>
                <w:sz w:val="24"/>
                <w:szCs w:val="24"/>
                <w:highlight w:val="none"/>
                <w:lang w:val="en-US" w:eastAsia="zh-CN"/>
              </w:rPr>
              <w:t>黄花乡沙塘村菌菇产业园区扩容提升建设工程中心地理坐标</w:t>
            </w:r>
            <w:r>
              <w:rPr>
                <w:rFonts w:hint="default" w:ascii="Times New Roman" w:hAnsi="Times New Roman" w:eastAsia="仿宋_GB2312" w:cs="Times New Roman"/>
                <w:color w:val="auto"/>
                <w:sz w:val="24"/>
                <w:szCs w:val="24"/>
                <w:highlight w:val="none"/>
                <w:lang w:val="en-US" w:eastAsia="zh-CN"/>
              </w:rPr>
              <w:t>为东经106°</w:t>
            </w:r>
            <w:r>
              <w:rPr>
                <w:rFonts w:hint="eastAsia" w:eastAsia="仿宋_GB2312" w:cs="Times New Roman"/>
                <w:color w:val="auto"/>
                <w:sz w:val="24"/>
                <w:szCs w:val="24"/>
                <w:highlight w:val="none"/>
                <w:lang w:val="en-US" w:eastAsia="zh-CN"/>
              </w:rPr>
              <w:t>26</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12.993</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w:t>
            </w:r>
            <w:r>
              <w:rPr>
                <w:rFonts w:hint="default" w:ascii="Times New Roman" w:hAnsi="Times New Roman" w:eastAsia="仿宋_GB2312" w:cs="Times New Roman"/>
                <w:color w:val="auto"/>
                <w:sz w:val="24"/>
                <w:szCs w:val="24"/>
                <w:highlight w:val="none"/>
                <w:lang w:val="en-US" w:eastAsia="zh-CN"/>
              </w:rPr>
              <w:t>北纬35°3</w:t>
            </w:r>
            <w:r>
              <w:rPr>
                <w:rFonts w:hint="eastAsia" w:eastAsia="仿宋_GB2312" w:cs="Times New Roman"/>
                <w:color w:val="auto"/>
                <w:sz w:val="24"/>
                <w:szCs w:val="24"/>
                <w:highlight w:val="none"/>
                <w:lang w:val="en-US" w:eastAsia="zh-CN"/>
              </w:rPr>
              <w:t>5</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1.661</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fldChar w:fldCharType="begin"/>
            </w:r>
            <w:r>
              <w:rPr>
                <w:rFonts w:hint="eastAsia" w:eastAsia="仿宋_GB2312" w:cs="Times New Roman"/>
                <w:color w:val="auto"/>
                <w:sz w:val="24"/>
                <w:szCs w:val="24"/>
                <w:highlight w:val="none"/>
                <w:lang w:val="en-US" w:eastAsia="zh-CN"/>
              </w:rPr>
              <w:instrText xml:space="preserve"> = 2 \* GB3 \* MERGEFORMAT </w:instrText>
            </w:r>
            <w:r>
              <w:rPr>
                <w:rFonts w:hint="eastAsia" w:eastAsia="仿宋_GB2312" w:cs="Times New Roman"/>
                <w:color w:val="auto"/>
                <w:sz w:val="24"/>
                <w:szCs w:val="24"/>
                <w:highlight w:val="none"/>
                <w:lang w:val="en-US" w:eastAsia="zh-CN"/>
              </w:rPr>
              <w:fldChar w:fldCharType="separate"/>
            </w:r>
            <w:r>
              <w:rPr>
                <w:color w:val="auto"/>
                <w:sz w:val="24"/>
                <w:szCs w:val="24"/>
              </w:rPr>
              <w:t>②</w:t>
            </w:r>
            <w:r>
              <w:rPr>
                <w:rFonts w:hint="eastAsia" w:eastAsia="仿宋_GB2312" w:cs="Times New Roman"/>
                <w:color w:val="auto"/>
                <w:sz w:val="24"/>
                <w:szCs w:val="24"/>
                <w:highlight w:val="none"/>
                <w:lang w:val="en-US" w:eastAsia="zh-CN"/>
              </w:rPr>
              <w:fldChar w:fldCharType="end"/>
            </w:r>
            <w:r>
              <w:rPr>
                <w:rFonts w:hint="eastAsia" w:eastAsia="仿宋_GB2312" w:cs="Times New Roman"/>
                <w:color w:val="auto"/>
                <w:sz w:val="24"/>
                <w:szCs w:val="24"/>
                <w:highlight w:val="none"/>
                <w:lang w:val="en-US" w:eastAsia="zh-CN"/>
              </w:rPr>
              <w:t>黄花乡羊槽村菌菇产业园建设工程中心地理坐标</w:t>
            </w:r>
            <w:r>
              <w:rPr>
                <w:rFonts w:hint="default" w:ascii="Times New Roman" w:hAnsi="Times New Roman" w:eastAsia="仿宋_GB2312" w:cs="Times New Roman"/>
                <w:color w:val="auto"/>
                <w:sz w:val="24"/>
                <w:szCs w:val="24"/>
                <w:highlight w:val="none"/>
                <w:lang w:val="en-US" w:eastAsia="zh-CN"/>
              </w:rPr>
              <w:t>为东经106°</w:t>
            </w:r>
            <w:r>
              <w:rPr>
                <w:rFonts w:hint="eastAsia" w:eastAsia="仿宋_GB2312" w:cs="Times New Roman"/>
                <w:color w:val="auto"/>
                <w:sz w:val="24"/>
                <w:szCs w:val="24"/>
                <w:highlight w:val="none"/>
                <w:lang w:val="en-US" w:eastAsia="zh-CN"/>
              </w:rPr>
              <w:t>25</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53.837</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，北纬</w:t>
            </w:r>
            <w:r>
              <w:rPr>
                <w:rFonts w:hint="default" w:ascii="Times New Roman" w:hAnsi="Times New Roman" w:eastAsia="仿宋_GB2312" w:cs="Times New Roman"/>
                <w:color w:val="auto"/>
                <w:sz w:val="24"/>
                <w:szCs w:val="24"/>
                <w:highlight w:val="none"/>
                <w:lang w:val="en-US" w:eastAsia="zh-CN"/>
              </w:rPr>
              <w:t>35°</w:t>
            </w:r>
            <w:r>
              <w:rPr>
                <w:rFonts w:hint="eastAsia" w:eastAsia="仿宋_GB2312" w:cs="Times New Roman"/>
                <w:color w:val="auto"/>
                <w:sz w:val="24"/>
                <w:szCs w:val="24"/>
                <w:highlight w:val="none"/>
                <w:lang w:val="en-US" w:eastAsia="zh-CN"/>
              </w:rPr>
              <w:t>29</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6.794</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fldChar w:fldCharType="begin"/>
            </w:r>
            <w:r>
              <w:rPr>
                <w:rFonts w:hint="eastAsia" w:eastAsia="仿宋_GB2312" w:cs="Times New Roman"/>
                <w:color w:val="auto"/>
                <w:sz w:val="24"/>
                <w:szCs w:val="24"/>
                <w:highlight w:val="none"/>
                <w:lang w:val="en-US" w:eastAsia="zh-CN"/>
              </w:rPr>
              <w:instrText xml:space="preserve"> = 3 \* GB3 \* MERGEFORMAT </w:instrText>
            </w:r>
            <w:r>
              <w:rPr>
                <w:rFonts w:hint="eastAsia" w:eastAsia="仿宋_GB2312" w:cs="Times New Roman"/>
                <w:color w:val="auto"/>
                <w:sz w:val="24"/>
                <w:szCs w:val="24"/>
                <w:highlight w:val="none"/>
                <w:lang w:val="en-US" w:eastAsia="zh-CN"/>
              </w:rPr>
              <w:fldChar w:fldCharType="separate"/>
            </w:r>
            <w:r>
              <w:rPr>
                <w:color w:val="auto"/>
                <w:sz w:val="24"/>
                <w:szCs w:val="24"/>
              </w:rPr>
              <w:t>③</w:t>
            </w:r>
            <w:r>
              <w:rPr>
                <w:rFonts w:hint="eastAsia" w:eastAsia="仿宋_GB2312" w:cs="Times New Roman"/>
                <w:color w:val="auto"/>
                <w:sz w:val="24"/>
                <w:szCs w:val="24"/>
                <w:highlight w:val="none"/>
                <w:lang w:val="en-US" w:eastAsia="zh-CN"/>
              </w:rPr>
              <w:fldChar w:fldCharType="end"/>
            </w:r>
            <w:r>
              <w:rPr>
                <w:rFonts w:hint="eastAsia" w:eastAsia="仿宋_GB2312" w:cs="Times New Roman"/>
                <w:color w:val="auto"/>
                <w:sz w:val="24"/>
                <w:szCs w:val="24"/>
                <w:highlight w:val="none"/>
                <w:lang w:val="en-US" w:eastAsia="zh-CN"/>
              </w:rPr>
              <w:t>新民乡马河滩村菌菇大棚建设工程</w:t>
            </w:r>
            <w:r>
              <w:rPr>
                <w:rFonts w:hint="eastAsia" w:ascii="Times New Roman" w:hAnsi="Times New Roman" w:eastAsia="仿宋_GB2312" w:cs="Times New Roman"/>
                <w:color w:val="auto"/>
                <w:sz w:val="24"/>
                <w:szCs w:val="24"/>
                <w:highlight w:val="none"/>
                <w:lang w:val="en-US" w:eastAsia="zh-CN"/>
              </w:rPr>
              <w:t>中心地理坐标为</w:t>
            </w:r>
            <w:r>
              <w:rPr>
                <w:rFonts w:hint="eastAsia" w:eastAsia="仿宋_GB2312" w:cs="Times New Roman"/>
                <w:color w:val="auto"/>
                <w:sz w:val="24"/>
                <w:szCs w:val="24"/>
                <w:highlight w:val="none"/>
                <w:lang w:val="en-US" w:eastAsia="zh-CN"/>
              </w:rPr>
              <w:t>东经</w:t>
            </w:r>
            <w:r>
              <w:rPr>
                <w:rFonts w:hint="default" w:ascii="Times New Roman" w:hAnsi="Times New Roman" w:eastAsia="仿宋_GB2312" w:cs="Times New Roman"/>
                <w:color w:val="auto"/>
                <w:sz w:val="24"/>
                <w:szCs w:val="24"/>
                <w:highlight w:val="none"/>
                <w:lang w:val="en-US" w:eastAsia="zh-CN"/>
              </w:rPr>
              <w:t>106°</w:t>
            </w:r>
            <w:r>
              <w:rPr>
                <w:rFonts w:hint="eastAsia" w:eastAsia="仿宋_GB2312" w:cs="Times New Roman"/>
                <w:color w:val="auto"/>
                <w:sz w:val="24"/>
                <w:szCs w:val="24"/>
                <w:highlight w:val="none"/>
                <w:lang w:val="en-US" w:eastAsia="zh-CN"/>
              </w:rPr>
              <w:t>2</w:t>
            </w:r>
            <w:r>
              <w:rPr>
                <w:rFonts w:hint="default" w:ascii="Times New Roman" w:hAnsi="Times New Roman" w:eastAsia="仿宋_GB2312" w:cs="Times New Roman"/>
                <w:color w:val="auto"/>
                <w:sz w:val="24"/>
                <w:szCs w:val="24"/>
                <w:highlight w:val="none"/>
                <w:lang w:val="en-US" w:eastAsia="zh-CN"/>
              </w:rPr>
              <w:t>7′</w:t>
            </w:r>
            <w:r>
              <w:rPr>
                <w:rFonts w:hint="eastAsia" w:eastAsia="仿宋_GB2312" w:cs="Times New Roman"/>
                <w:color w:val="auto"/>
                <w:sz w:val="24"/>
                <w:szCs w:val="24"/>
                <w:highlight w:val="none"/>
                <w:lang w:val="en-US" w:eastAsia="zh-CN"/>
              </w:rPr>
              <w:t>2.376</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，北纬</w:t>
            </w:r>
            <w:r>
              <w:rPr>
                <w:rFonts w:hint="default" w:ascii="Times New Roman" w:hAnsi="Times New Roman" w:eastAsia="仿宋_GB2312" w:cs="Times New Roman"/>
                <w:color w:val="auto"/>
                <w:sz w:val="24"/>
                <w:szCs w:val="24"/>
                <w:highlight w:val="none"/>
                <w:lang w:val="en-US" w:eastAsia="zh-CN"/>
              </w:rPr>
              <w:t>35°</w:t>
            </w:r>
            <w:r>
              <w:rPr>
                <w:rFonts w:hint="eastAsia" w:eastAsia="仿宋_GB2312" w:cs="Times New Roman"/>
                <w:color w:val="auto"/>
                <w:sz w:val="24"/>
                <w:szCs w:val="24"/>
                <w:highlight w:val="none"/>
                <w:lang w:val="en-US" w:eastAsia="zh-CN"/>
              </w:rPr>
              <w:t>21</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4.170</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fldChar w:fldCharType="begin"/>
            </w:r>
            <w:r>
              <w:rPr>
                <w:rFonts w:hint="eastAsia" w:eastAsia="仿宋_GB2312" w:cs="Times New Roman"/>
                <w:color w:val="auto"/>
                <w:sz w:val="24"/>
                <w:szCs w:val="24"/>
                <w:highlight w:val="none"/>
                <w:lang w:val="en-US" w:eastAsia="zh-CN"/>
              </w:rPr>
              <w:instrText xml:space="preserve"> = 4 \* GB3 \* MERGEFORMAT </w:instrText>
            </w:r>
            <w:r>
              <w:rPr>
                <w:rFonts w:hint="eastAsia" w:eastAsia="仿宋_GB2312" w:cs="Times New Roman"/>
                <w:color w:val="auto"/>
                <w:sz w:val="24"/>
                <w:szCs w:val="24"/>
                <w:highlight w:val="none"/>
                <w:lang w:val="en-US" w:eastAsia="zh-CN"/>
              </w:rPr>
              <w:fldChar w:fldCharType="separate"/>
            </w:r>
            <w:r>
              <w:rPr>
                <w:color w:val="auto"/>
                <w:sz w:val="24"/>
                <w:szCs w:val="24"/>
              </w:rPr>
              <w:t>④</w:t>
            </w:r>
            <w:r>
              <w:rPr>
                <w:rFonts w:hint="eastAsia" w:eastAsia="仿宋_GB2312" w:cs="Times New Roman"/>
                <w:color w:val="auto"/>
                <w:sz w:val="24"/>
                <w:szCs w:val="24"/>
                <w:highlight w:val="none"/>
                <w:lang w:val="en-US" w:eastAsia="zh-CN"/>
              </w:rPr>
              <w:fldChar w:fldCharType="end"/>
            </w:r>
            <w:r>
              <w:rPr>
                <w:rFonts w:hint="eastAsia" w:eastAsia="仿宋_GB2312" w:cs="Times New Roman"/>
                <w:color w:val="auto"/>
                <w:sz w:val="24"/>
                <w:szCs w:val="24"/>
                <w:highlight w:val="none"/>
                <w:lang w:val="en-US" w:eastAsia="zh-CN"/>
              </w:rPr>
              <w:t>大湾乡养菌棚改造及木耳配套设施建设工程中心地理坐标</w:t>
            </w:r>
            <w:r>
              <w:rPr>
                <w:rFonts w:hint="default" w:ascii="Times New Roman" w:hAnsi="Times New Roman" w:eastAsia="仿宋_GB2312" w:cs="Times New Roman"/>
                <w:color w:val="auto"/>
                <w:sz w:val="24"/>
                <w:szCs w:val="24"/>
                <w:highlight w:val="none"/>
                <w:lang w:val="en-US" w:eastAsia="zh-CN"/>
              </w:rPr>
              <w:t>106°1</w:t>
            </w:r>
            <w:r>
              <w:rPr>
                <w:rFonts w:hint="eastAsia" w:eastAsia="仿宋_GB2312" w:cs="Times New Roman"/>
                <w:color w:val="auto"/>
                <w:sz w:val="24"/>
                <w:szCs w:val="24"/>
                <w:highlight w:val="none"/>
                <w:lang w:val="en-US" w:eastAsia="zh-CN"/>
              </w:rPr>
              <w:t>5</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19.7894</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，北纬</w:t>
            </w:r>
            <w:r>
              <w:rPr>
                <w:rFonts w:hint="default" w:ascii="Times New Roman" w:hAnsi="Times New Roman" w:eastAsia="仿宋_GB2312" w:cs="Times New Roman"/>
                <w:color w:val="auto"/>
                <w:sz w:val="24"/>
                <w:szCs w:val="24"/>
                <w:highlight w:val="none"/>
                <w:lang w:val="en-US" w:eastAsia="zh-CN"/>
              </w:rPr>
              <w:t>35°</w:t>
            </w:r>
            <w:r>
              <w:rPr>
                <w:rFonts w:hint="eastAsia" w:eastAsia="仿宋_GB2312" w:cs="Times New Roman"/>
                <w:color w:val="auto"/>
                <w:sz w:val="24"/>
                <w:szCs w:val="24"/>
                <w:highlight w:val="none"/>
                <w:lang w:val="en-US" w:eastAsia="zh-CN"/>
              </w:rPr>
              <w:t>45</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33.762</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fldChar w:fldCharType="begin"/>
            </w:r>
            <w:r>
              <w:rPr>
                <w:rFonts w:hint="eastAsia" w:eastAsia="仿宋_GB2312" w:cs="Times New Roman"/>
                <w:color w:val="auto"/>
                <w:sz w:val="24"/>
                <w:szCs w:val="24"/>
                <w:highlight w:val="none"/>
                <w:lang w:val="en-US" w:eastAsia="zh-CN"/>
              </w:rPr>
              <w:instrText xml:space="preserve"> = 5 \* GB3 \* MERGEFORMAT </w:instrText>
            </w:r>
            <w:r>
              <w:rPr>
                <w:rFonts w:hint="eastAsia" w:eastAsia="仿宋_GB2312" w:cs="Times New Roman"/>
                <w:color w:val="auto"/>
                <w:sz w:val="24"/>
                <w:szCs w:val="24"/>
                <w:highlight w:val="none"/>
                <w:lang w:val="en-US" w:eastAsia="zh-CN"/>
              </w:rPr>
              <w:fldChar w:fldCharType="separate"/>
            </w:r>
            <w:r>
              <w:rPr>
                <w:color w:val="auto"/>
                <w:sz w:val="24"/>
                <w:szCs w:val="24"/>
              </w:rPr>
              <w:t>⑤</w:t>
            </w:r>
            <w:r>
              <w:rPr>
                <w:rFonts w:hint="eastAsia" w:eastAsia="仿宋_GB2312" w:cs="Times New Roman"/>
                <w:color w:val="auto"/>
                <w:sz w:val="24"/>
                <w:szCs w:val="24"/>
                <w:highlight w:val="none"/>
                <w:lang w:val="en-US" w:eastAsia="zh-CN"/>
              </w:rPr>
              <w:fldChar w:fldCharType="end"/>
            </w:r>
            <w:r>
              <w:rPr>
                <w:rFonts w:hint="eastAsia" w:eastAsia="仿宋_GB2312" w:cs="Times New Roman"/>
                <w:color w:val="auto"/>
                <w:sz w:val="24"/>
                <w:szCs w:val="24"/>
                <w:highlight w:val="none"/>
                <w:lang w:val="en-US" w:eastAsia="zh-CN"/>
              </w:rPr>
              <w:t>香水镇卡子村菌菇产业提质扩量建设工程中心地理坐标东经</w:t>
            </w:r>
            <w:r>
              <w:rPr>
                <w:rFonts w:hint="default" w:ascii="Times New Roman" w:hAnsi="Times New Roman" w:eastAsia="仿宋_GB2312" w:cs="Times New Roman"/>
                <w:color w:val="auto"/>
                <w:sz w:val="24"/>
                <w:szCs w:val="24"/>
                <w:highlight w:val="none"/>
                <w:lang w:val="en-US" w:eastAsia="zh-CN"/>
              </w:rPr>
              <w:t>106°17′</w:t>
            </w:r>
            <w:r>
              <w:rPr>
                <w:rFonts w:hint="eastAsia" w:eastAsia="仿宋_GB2312" w:cs="Times New Roman"/>
                <w:color w:val="auto"/>
                <w:sz w:val="24"/>
                <w:szCs w:val="24"/>
                <w:highlight w:val="none"/>
                <w:lang w:val="en-US" w:eastAsia="zh-CN"/>
              </w:rPr>
              <w:t>19.237</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,北纬</w:t>
            </w:r>
            <w:r>
              <w:rPr>
                <w:rFonts w:hint="default" w:ascii="Times New Roman" w:hAnsi="Times New Roman" w:eastAsia="仿宋_GB2312" w:cs="Times New Roman"/>
                <w:color w:val="auto"/>
                <w:sz w:val="24"/>
                <w:szCs w:val="24"/>
                <w:highlight w:val="none"/>
                <w:lang w:val="en-US" w:eastAsia="zh-CN"/>
              </w:rPr>
              <w:t>35°3</w:t>
            </w:r>
            <w:r>
              <w:rPr>
                <w:rFonts w:hint="eastAsia" w:eastAsia="仿宋_GB2312" w:cs="Times New Roman"/>
                <w:color w:val="auto"/>
                <w:sz w:val="24"/>
                <w:szCs w:val="24"/>
                <w:highlight w:val="none"/>
                <w:lang w:val="en-US" w:eastAsia="zh-CN"/>
              </w:rPr>
              <w:t>3</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58.667</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fldChar w:fldCharType="begin"/>
            </w:r>
            <w:r>
              <w:rPr>
                <w:rFonts w:hint="eastAsia" w:eastAsia="仿宋_GB2312" w:cs="Times New Roman"/>
                <w:color w:val="auto"/>
                <w:sz w:val="24"/>
                <w:szCs w:val="24"/>
                <w:highlight w:val="none"/>
                <w:lang w:val="en-US" w:eastAsia="zh-CN"/>
              </w:rPr>
              <w:instrText xml:space="preserve"> = 6 \* GB3 \* MERGEFORMAT </w:instrText>
            </w:r>
            <w:r>
              <w:rPr>
                <w:rFonts w:hint="eastAsia" w:eastAsia="仿宋_GB2312" w:cs="Times New Roman"/>
                <w:color w:val="auto"/>
                <w:sz w:val="24"/>
                <w:szCs w:val="24"/>
                <w:highlight w:val="none"/>
                <w:lang w:val="en-US" w:eastAsia="zh-CN"/>
              </w:rPr>
              <w:fldChar w:fldCharType="separate"/>
            </w:r>
            <w:r>
              <w:rPr>
                <w:color w:val="auto"/>
                <w:sz w:val="24"/>
                <w:szCs w:val="24"/>
              </w:rPr>
              <w:t>⑥</w:t>
            </w:r>
            <w:r>
              <w:rPr>
                <w:rFonts w:hint="eastAsia" w:eastAsia="仿宋_GB2312" w:cs="Times New Roman"/>
                <w:color w:val="auto"/>
                <w:sz w:val="24"/>
                <w:szCs w:val="24"/>
                <w:highlight w:val="none"/>
                <w:lang w:val="en-US" w:eastAsia="zh-CN"/>
              </w:rPr>
              <w:fldChar w:fldCharType="end"/>
            </w:r>
            <w:r>
              <w:rPr>
                <w:rFonts w:hint="eastAsia" w:eastAsia="仿宋_GB2312" w:cs="Times New Roman"/>
                <w:color w:val="auto"/>
                <w:sz w:val="24"/>
                <w:szCs w:val="24"/>
                <w:highlight w:val="none"/>
                <w:lang w:val="en-US" w:eastAsia="zh-CN"/>
              </w:rPr>
              <w:t>香水镇米岗村新建菌菇棚建设工程中心地理坐标东经</w:t>
            </w:r>
            <w:r>
              <w:rPr>
                <w:rFonts w:hint="default" w:ascii="Times New Roman" w:hAnsi="Times New Roman" w:eastAsia="仿宋_GB2312" w:cs="Times New Roman"/>
                <w:color w:val="auto"/>
                <w:sz w:val="24"/>
                <w:szCs w:val="24"/>
                <w:highlight w:val="none"/>
                <w:lang w:val="en-US" w:eastAsia="zh-CN"/>
              </w:rPr>
              <w:t>106°17′</w:t>
            </w:r>
            <w:r>
              <w:rPr>
                <w:rFonts w:hint="eastAsia" w:eastAsia="仿宋_GB2312" w:cs="Times New Roman"/>
                <w:color w:val="auto"/>
                <w:sz w:val="24"/>
                <w:szCs w:val="24"/>
                <w:highlight w:val="none"/>
                <w:lang w:val="en-US" w:eastAsia="zh-CN"/>
              </w:rPr>
              <w:t>24.720</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,北纬</w:t>
            </w:r>
            <w:r>
              <w:rPr>
                <w:rFonts w:hint="default" w:ascii="Times New Roman" w:hAnsi="Times New Roman" w:eastAsia="仿宋_GB2312" w:cs="Times New Roman"/>
                <w:color w:val="auto"/>
                <w:sz w:val="24"/>
                <w:szCs w:val="24"/>
                <w:highlight w:val="none"/>
                <w:lang w:val="en-US" w:eastAsia="zh-CN"/>
              </w:rPr>
              <w:t>35°3</w:t>
            </w:r>
            <w:r>
              <w:rPr>
                <w:rFonts w:hint="eastAsia" w:eastAsia="仿宋_GB2312" w:cs="Times New Roman"/>
                <w:color w:val="auto"/>
                <w:sz w:val="24"/>
                <w:szCs w:val="24"/>
                <w:highlight w:val="none"/>
                <w:lang w:val="en-US" w:eastAsia="zh-CN"/>
              </w:rPr>
              <w:t>3</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23.113</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fldChar w:fldCharType="begin"/>
            </w:r>
            <w:r>
              <w:rPr>
                <w:rFonts w:hint="eastAsia" w:eastAsia="仿宋_GB2312" w:cs="Times New Roman"/>
                <w:color w:val="auto"/>
                <w:sz w:val="24"/>
                <w:szCs w:val="24"/>
                <w:highlight w:val="none"/>
                <w:lang w:val="en-US" w:eastAsia="zh-CN"/>
              </w:rPr>
              <w:instrText xml:space="preserve"> = 7 \* GB3 \* MERGEFORMAT </w:instrText>
            </w:r>
            <w:r>
              <w:rPr>
                <w:rFonts w:hint="eastAsia" w:eastAsia="仿宋_GB2312" w:cs="Times New Roman"/>
                <w:color w:val="auto"/>
                <w:sz w:val="24"/>
                <w:szCs w:val="24"/>
                <w:highlight w:val="none"/>
                <w:lang w:val="en-US" w:eastAsia="zh-CN"/>
              </w:rPr>
              <w:fldChar w:fldCharType="separate"/>
            </w:r>
            <w:r>
              <w:rPr>
                <w:color w:val="auto"/>
                <w:sz w:val="24"/>
                <w:szCs w:val="24"/>
              </w:rPr>
              <w:t>⑦</w:t>
            </w:r>
            <w:r>
              <w:rPr>
                <w:rFonts w:hint="eastAsia" w:eastAsia="仿宋_GB2312" w:cs="Times New Roman"/>
                <w:color w:val="auto"/>
                <w:sz w:val="24"/>
                <w:szCs w:val="24"/>
                <w:highlight w:val="none"/>
                <w:lang w:val="en-US" w:eastAsia="zh-CN"/>
              </w:rPr>
              <w:fldChar w:fldCharType="end"/>
            </w:r>
            <w:r>
              <w:rPr>
                <w:rFonts w:hint="eastAsia" w:eastAsia="仿宋_GB2312" w:cs="Times New Roman"/>
                <w:color w:val="auto"/>
                <w:sz w:val="24"/>
                <w:szCs w:val="24"/>
                <w:highlight w:val="none"/>
                <w:lang w:val="en-US" w:eastAsia="zh-CN"/>
              </w:rPr>
              <w:t>兴盛乡兴盛村特色农业设施大棚中心地理坐标东经</w:t>
            </w:r>
            <w:r>
              <w:rPr>
                <w:rFonts w:hint="default" w:ascii="Times New Roman" w:hAnsi="Times New Roman" w:eastAsia="仿宋_GB2312" w:cs="Times New Roman"/>
                <w:color w:val="auto"/>
                <w:sz w:val="24"/>
                <w:szCs w:val="24"/>
                <w:highlight w:val="none"/>
                <w:lang w:val="en-US" w:eastAsia="zh-CN"/>
              </w:rPr>
              <w:t>106°</w:t>
            </w:r>
            <w:r>
              <w:rPr>
                <w:rFonts w:hint="eastAsia" w:eastAsia="仿宋_GB2312" w:cs="Times New Roman"/>
                <w:color w:val="auto"/>
                <w:sz w:val="24"/>
                <w:szCs w:val="24"/>
                <w:highlight w:val="none"/>
                <w:lang w:val="en-US" w:eastAsia="zh-CN"/>
              </w:rPr>
              <w:t>20</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10.451</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,北纬</w:t>
            </w:r>
            <w:r>
              <w:rPr>
                <w:rFonts w:hint="default" w:ascii="Times New Roman" w:hAnsi="Times New Roman" w:eastAsia="仿宋_GB2312" w:cs="Times New Roman"/>
                <w:color w:val="auto"/>
                <w:sz w:val="24"/>
                <w:szCs w:val="24"/>
                <w:highlight w:val="none"/>
                <w:lang w:val="en-US" w:eastAsia="zh-CN"/>
              </w:rPr>
              <w:t>35°</w:t>
            </w:r>
            <w:r>
              <w:rPr>
                <w:rFonts w:hint="eastAsia" w:eastAsia="仿宋_GB2312" w:cs="Times New Roman"/>
                <w:color w:val="auto"/>
                <w:sz w:val="24"/>
                <w:szCs w:val="24"/>
                <w:highlight w:val="none"/>
                <w:lang w:val="en-US" w:eastAsia="zh-CN"/>
              </w:rPr>
              <w:t>27</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7.9367</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fldChar w:fldCharType="begin"/>
            </w:r>
            <w:r>
              <w:rPr>
                <w:rFonts w:hint="eastAsia" w:eastAsia="仿宋_GB2312" w:cs="Times New Roman"/>
                <w:color w:val="auto"/>
                <w:sz w:val="24"/>
                <w:szCs w:val="24"/>
                <w:highlight w:val="none"/>
                <w:lang w:val="en-US" w:eastAsia="zh-CN"/>
              </w:rPr>
              <w:instrText xml:space="preserve"> = 8 \* GB3 \* MERGEFORMAT </w:instrText>
            </w:r>
            <w:r>
              <w:rPr>
                <w:rFonts w:hint="eastAsia" w:eastAsia="仿宋_GB2312" w:cs="Times New Roman"/>
                <w:color w:val="auto"/>
                <w:sz w:val="24"/>
                <w:szCs w:val="24"/>
                <w:highlight w:val="none"/>
                <w:lang w:val="en-US" w:eastAsia="zh-CN"/>
              </w:rPr>
              <w:fldChar w:fldCharType="separate"/>
            </w:r>
            <w:r>
              <w:rPr>
                <w:color w:val="auto"/>
                <w:sz w:val="24"/>
                <w:szCs w:val="24"/>
              </w:rPr>
              <w:t>⑧</w:t>
            </w:r>
            <w:r>
              <w:rPr>
                <w:rFonts w:hint="eastAsia" w:eastAsia="仿宋_GB2312" w:cs="Times New Roman"/>
                <w:color w:val="auto"/>
                <w:sz w:val="24"/>
                <w:szCs w:val="24"/>
                <w:highlight w:val="none"/>
                <w:lang w:val="en-US" w:eastAsia="zh-CN"/>
              </w:rPr>
              <w:fldChar w:fldCharType="end"/>
            </w:r>
            <w:r>
              <w:rPr>
                <w:rFonts w:hint="eastAsia" w:eastAsia="仿宋_GB2312" w:cs="Times New Roman"/>
                <w:color w:val="auto"/>
                <w:sz w:val="24"/>
                <w:szCs w:val="24"/>
                <w:highlight w:val="none"/>
                <w:lang w:val="en-US" w:eastAsia="zh-CN"/>
              </w:rPr>
              <w:t>泾河源镇白面村新建菌菇棚建设工程中心地理坐标东经</w:t>
            </w:r>
            <w:r>
              <w:rPr>
                <w:rFonts w:hint="default" w:ascii="Times New Roman" w:hAnsi="Times New Roman" w:eastAsia="仿宋_GB2312" w:cs="Times New Roman"/>
                <w:color w:val="auto"/>
                <w:sz w:val="24"/>
                <w:szCs w:val="24"/>
                <w:highlight w:val="none"/>
                <w:lang w:val="en-US" w:eastAsia="zh-CN"/>
              </w:rPr>
              <w:t>106°</w:t>
            </w:r>
            <w:r>
              <w:rPr>
                <w:rFonts w:hint="eastAsia" w:eastAsia="仿宋_GB2312" w:cs="Times New Roman"/>
                <w:color w:val="auto"/>
                <w:sz w:val="24"/>
                <w:szCs w:val="24"/>
                <w:highlight w:val="none"/>
                <w:lang w:val="en-US" w:eastAsia="zh-CN"/>
              </w:rPr>
              <w:t>23</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16.854</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,北纬</w:t>
            </w:r>
            <w:r>
              <w:rPr>
                <w:rFonts w:hint="default" w:ascii="Times New Roman" w:hAnsi="Times New Roman" w:eastAsia="仿宋_GB2312" w:cs="Times New Roman"/>
                <w:color w:val="auto"/>
                <w:sz w:val="24"/>
                <w:szCs w:val="24"/>
                <w:highlight w:val="none"/>
                <w:lang w:val="en-US" w:eastAsia="zh-CN"/>
              </w:rPr>
              <w:t>35°</w:t>
            </w:r>
            <w:r>
              <w:rPr>
                <w:rFonts w:hint="eastAsia" w:eastAsia="仿宋_GB2312" w:cs="Times New Roman"/>
                <w:color w:val="auto"/>
                <w:sz w:val="24"/>
                <w:szCs w:val="24"/>
                <w:highlight w:val="none"/>
                <w:lang w:val="en-US" w:eastAsia="zh-CN"/>
              </w:rPr>
              <w:t>23</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59.509</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fldChar w:fldCharType="begin"/>
            </w:r>
            <w:r>
              <w:rPr>
                <w:rFonts w:hint="eastAsia" w:eastAsia="仿宋_GB2312" w:cs="Times New Roman"/>
                <w:color w:val="auto"/>
                <w:sz w:val="24"/>
                <w:szCs w:val="24"/>
                <w:highlight w:val="none"/>
                <w:lang w:val="en-US" w:eastAsia="zh-CN"/>
              </w:rPr>
              <w:instrText xml:space="preserve"> = 9 \* GB3 \* MERGEFORMAT </w:instrText>
            </w:r>
            <w:r>
              <w:rPr>
                <w:rFonts w:hint="eastAsia" w:eastAsia="仿宋_GB2312" w:cs="Times New Roman"/>
                <w:color w:val="auto"/>
                <w:sz w:val="24"/>
                <w:szCs w:val="24"/>
                <w:highlight w:val="none"/>
                <w:lang w:val="en-US" w:eastAsia="zh-CN"/>
              </w:rPr>
              <w:fldChar w:fldCharType="separate"/>
            </w:r>
            <w:r>
              <w:rPr>
                <w:color w:val="auto"/>
                <w:sz w:val="24"/>
                <w:szCs w:val="24"/>
              </w:rPr>
              <w:t>⑨</w:t>
            </w:r>
            <w:r>
              <w:rPr>
                <w:rFonts w:hint="eastAsia" w:eastAsia="仿宋_GB2312" w:cs="Times New Roman"/>
                <w:color w:val="auto"/>
                <w:sz w:val="24"/>
                <w:szCs w:val="24"/>
                <w:highlight w:val="none"/>
                <w:lang w:val="en-US" w:eastAsia="zh-CN"/>
              </w:rPr>
              <w:fldChar w:fldCharType="end"/>
            </w:r>
            <w:r>
              <w:rPr>
                <w:rFonts w:hint="eastAsia" w:eastAsia="仿宋_GB2312" w:cs="Times New Roman"/>
                <w:color w:val="auto"/>
                <w:sz w:val="24"/>
                <w:szCs w:val="24"/>
                <w:highlight w:val="none"/>
                <w:lang w:val="en-US" w:eastAsia="zh-CN"/>
              </w:rPr>
              <w:t>泾河源镇白面村菌菇产业园区建设工程中心地理坐标东经</w:t>
            </w:r>
            <w:r>
              <w:rPr>
                <w:rFonts w:hint="default" w:ascii="Times New Roman" w:hAnsi="Times New Roman" w:eastAsia="仿宋_GB2312" w:cs="Times New Roman"/>
                <w:color w:val="auto"/>
                <w:sz w:val="24"/>
                <w:szCs w:val="24"/>
                <w:highlight w:val="none"/>
                <w:lang w:val="en-US" w:eastAsia="zh-CN"/>
              </w:rPr>
              <w:t>106°</w:t>
            </w:r>
            <w:r>
              <w:rPr>
                <w:rFonts w:hint="eastAsia" w:eastAsia="仿宋_GB2312" w:cs="Times New Roman"/>
                <w:color w:val="auto"/>
                <w:sz w:val="24"/>
                <w:szCs w:val="24"/>
                <w:highlight w:val="none"/>
                <w:lang w:val="en-US" w:eastAsia="zh-CN"/>
              </w:rPr>
              <w:t>23</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22.757</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，北纬</w:t>
            </w:r>
            <w:r>
              <w:rPr>
                <w:rFonts w:hint="default" w:ascii="Times New Roman" w:hAnsi="Times New Roman" w:eastAsia="仿宋_GB2312" w:cs="Times New Roman"/>
                <w:color w:val="auto"/>
                <w:sz w:val="24"/>
                <w:szCs w:val="24"/>
                <w:highlight w:val="none"/>
                <w:lang w:val="en-US" w:eastAsia="zh-CN"/>
              </w:rPr>
              <w:t>35°</w:t>
            </w:r>
            <w:r>
              <w:rPr>
                <w:rFonts w:hint="eastAsia" w:eastAsia="仿宋_GB2312" w:cs="Times New Roman"/>
                <w:color w:val="auto"/>
                <w:sz w:val="24"/>
                <w:szCs w:val="24"/>
                <w:highlight w:val="none"/>
                <w:lang w:val="en-US" w:eastAsia="zh-CN"/>
              </w:rPr>
              <w:t>24</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9.570</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35" w:hRule="atLeast"/>
          <w:jc w:val="center"/>
        </w:trPr>
        <w:tc>
          <w:tcPr>
            <w:tcW w:w="1547" w:type="dxa"/>
            <w:tcBorders>
              <w:tl2br w:val="nil"/>
              <w:tr2bl w:val="nil"/>
            </w:tcBorders>
            <w:tcMar>
              <w:top w:w="16" w:type="dxa"/>
              <w:left w:w="16" w:type="dxa"/>
              <w:right w:w="16" w:type="dxa"/>
            </w:tcMar>
            <w:vAlign w:val="center"/>
          </w:tcPr>
          <w:p>
            <w:pPr>
              <w:adjustRightInd w:val="0"/>
              <w:snapToGrid w:val="0"/>
              <w:jc w:val="center"/>
              <w:rPr>
                <w:rFonts w:hint="default" w:ascii="Times New Roman" w:hAnsi="Times New Roman" w:eastAsia="仿宋_GB2312" w:cs="Times New Roman"/>
                <w:b/>
                <w:bCs/>
                <w:color w:val="auto"/>
                <w:sz w:val="24"/>
                <w:highlight w:val="none"/>
              </w:rPr>
            </w:pPr>
            <w:r>
              <w:rPr>
                <w:rFonts w:hint="default" w:ascii="Times New Roman" w:hAnsi="Times New Roman" w:eastAsia="仿宋_GB2312" w:cs="Times New Roman"/>
                <w:b/>
                <w:bCs/>
                <w:color w:val="auto"/>
                <w:sz w:val="24"/>
                <w:highlight w:val="none"/>
              </w:rPr>
              <w:t>建设项目</w:t>
            </w:r>
          </w:p>
          <w:p>
            <w:pPr>
              <w:adjustRightInd w:val="0"/>
              <w:snapToGrid w:val="0"/>
              <w:jc w:val="center"/>
              <w:rPr>
                <w:rFonts w:hint="default" w:ascii="Times New Roman" w:hAnsi="Times New Roman" w:eastAsia="仿宋_GB2312" w:cs="Times New Roman"/>
                <w:b/>
                <w:bCs/>
                <w:color w:val="auto"/>
                <w:sz w:val="24"/>
                <w:highlight w:val="none"/>
              </w:rPr>
            </w:pPr>
            <w:r>
              <w:rPr>
                <w:rFonts w:hint="default" w:ascii="Times New Roman" w:hAnsi="Times New Roman" w:eastAsia="仿宋_GB2312" w:cs="Times New Roman"/>
                <w:b/>
                <w:bCs/>
                <w:color w:val="auto"/>
                <w:sz w:val="24"/>
                <w:highlight w:val="none"/>
              </w:rPr>
              <w:t>行业类别</w:t>
            </w:r>
          </w:p>
        </w:tc>
        <w:tc>
          <w:tcPr>
            <w:tcW w:w="2830" w:type="dxa"/>
            <w:tcBorders>
              <w:tl2br w:val="nil"/>
              <w:tr2bl w:val="nil"/>
            </w:tcBorders>
            <w:vAlign w:val="center"/>
          </w:tcPr>
          <w:p>
            <w:pPr>
              <w:snapToGrid w:val="0"/>
              <w:jc w:val="left"/>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一、农业01、林业02</w:t>
            </w:r>
            <w:r>
              <w:rPr>
                <w:rFonts w:hint="eastAsia" w:ascii="Times New Roman" w:hAnsi="Times New Roman" w:eastAsia="仿宋_GB2312" w:cs="Times New Roman"/>
                <w:color w:val="auto"/>
                <w:sz w:val="24"/>
                <w:highlight w:val="none"/>
                <w:lang w:val="en-US" w:eastAsia="zh-CN"/>
              </w:rPr>
              <w:t>，1.农产品基地项目</w:t>
            </w:r>
          </w:p>
        </w:tc>
        <w:tc>
          <w:tcPr>
            <w:tcW w:w="1818" w:type="dxa"/>
            <w:tcBorders>
              <w:tl2br w:val="nil"/>
              <w:tr2bl w:val="nil"/>
            </w:tcBorders>
            <w:vAlign w:val="center"/>
          </w:tcPr>
          <w:p>
            <w:pPr>
              <w:adjustRightInd w:val="0"/>
              <w:snapToGrid w:val="0"/>
              <w:jc w:val="center"/>
              <w:rPr>
                <w:rFonts w:hint="default" w:ascii="Times New Roman" w:hAnsi="Times New Roman" w:eastAsia="仿宋_GB2312" w:cs="Times New Roman"/>
                <w:b/>
                <w:bCs/>
                <w:color w:val="auto"/>
                <w:sz w:val="24"/>
                <w:highlight w:val="none"/>
              </w:rPr>
            </w:pPr>
            <w:r>
              <w:rPr>
                <w:rFonts w:hint="default" w:ascii="Times New Roman" w:hAnsi="Times New Roman" w:eastAsia="仿宋_GB2312" w:cs="Times New Roman"/>
                <w:b/>
                <w:bCs/>
                <w:color w:val="auto"/>
                <w:sz w:val="24"/>
                <w:highlight w:val="none"/>
              </w:rPr>
              <w:t>用地（用海）面积（m</w:t>
            </w:r>
            <w:r>
              <w:rPr>
                <w:rFonts w:hint="default" w:ascii="Times New Roman" w:hAnsi="Times New Roman" w:eastAsia="仿宋_GB2312" w:cs="Times New Roman"/>
                <w:b/>
                <w:bCs/>
                <w:color w:val="auto"/>
                <w:sz w:val="24"/>
                <w:highlight w:val="none"/>
                <w:vertAlign w:val="superscript"/>
              </w:rPr>
              <w:t>2</w:t>
            </w:r>
            <w:r>
              <w:rPr>
                <w:rFonts w:hint="default" w:ascii="Times New Roman" w:hAnsi="Times New Roman" w:eastAsia="仿宋_GB2312" w:cs="Times New Roman"/>
                <w:b/>
                <w:bCs/>
                <w:color w:val="auto"/>
                <w:sz w:val="24"/>
                <w:highlight w:val="none"/>
              </w:rPr>
              <w:t>）/长度（km）</w:t>
            </w:r>
          </w:p>
        </w:tc>
        <w:tc>
          <w:tcPr>
            <w:tcW w:w="2915" w:type="dxa"/>
            <w:tcBorders>
              <w:tl2br w:val="nil"/>
              <w:tr2bl w:val="nil"/>
            </w:tcBorders>
            <w:vAlign w:val="center"/>
          </w:tcPr>
          <w:p>
            <w:pPr>
              <w:snapToGrid w:val="0"/>
              <w:jc w:val="center"/>
              <w:rPr>
                <w:rFonts w:hint="default" w:ascii="Times New Roman" w:hAnsi="Times New Roman" w:eastAsia="仿宋_GB2312" w:cs="Times New Roman"/>
                <w:color w:val="auto"/>
                <w:highlight w:val="none"/>
                <w:lang w:val="en-US" w:eastAsia="zh-CN"/>
              </w:rPr>
            </w:pPr>
            <w:r>
              <w:rPr>
                <w:rFonts w:hint="default" w:eastAsia="仿宋_GB2312" w:cs="Times New Roman"/>
                <w:bCs/>
                <w:color w:val="auto"/>
                <w:kern w:val="2"/>
                <w:sz w:val="24"/>
                <w:szCs w:val="24"/>
                <w:highlight w:val="none"/>
                <w:lang w:val="en-US" w:eastAsia="zh-CN" w:bidi="ar-SA"/>
              </w:rPr>
              <w:t>工程永久占地</w:t>
            </w:r>
            <w:r>
              <w:rPr>
                <w:rFonts w:hint="eastAsia" w:eastAsia="仿宋_GB2312" w:cs="Times New Roman"/>
                <w:bCs/>
                <w:color w:val="auto"/>
                <w:kern w:val="2"/>
                <w:sz w:val="24"/>
                <w:szCs w:val="24"/>
                <w:highlight w:val="none"/>
                <w:lang w:val="en-US" w:eastAsia="zh-CN" w:bidi="ar-SA"/>
              </w:rPr>
              <w:t>350124.4m</w:t>
            </w:r>
            <w:r>
              <w:rPr>
                <w:rFonts w:hint="eastAsia" w:eastAsia="仿宋_GB2312" w:cs="Times New Roman"/>
                <w:bCs/>
                <w:color w:val="auto"/>
                <w:kern w:val="2"/>
                <w:sz w:val="24"/>
                <w:szCs w:val="24"/>
                <w:highlight w:val="none"/>
                <w:vertAlign w:val="superscript"/>
                <w:lang w:val="en-US" w:eastAsia="zh-CN" w:bidi="ar-SA"/>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32" w:hRule="atLeast"/>
          <w:jc w:val="center"/>
        </w:trPr>
        <w:tc>
          <w:tcPr>
            <w:tcW w:w="1547" w:type="dxa"/>
            <w:tcBorders>
              <w:tl2br w:val="nil"/>
              <w:tr2bl w:val="nil"/>
            </w:tcBorders>
            <w:tcMar>
              <w:top w:w="16" w:type="dxa"/>
              <w:left w:w="16" w:type="dxa"/>
              <w:right w:w="16" w:type="dxa"/>
            </w:tcMar>
            <w:vAlign w:val="center"/>
          </w:tcPr>
          <w:p>
            <w:pPr>
              <w:adjustRightInd w:val="0"/>
              <w:snapToGrid w:val="0"/>
              <w:jc w:val="center"/>
              <w:rPr>
                <w:rFonts w:hint="default" w:ascii="Times New Roman" w:hAnsi="Times New Roman" w:eastAsia="仿宋_GB2312" w:cs="Times New Roman"/>
                <w:b/>
                <w:bCs/>
                <w:color w:val="auto"/>
                <w:sz w:val="24"/>
                <w:highlight w:val="none"/>
              </w:rPr>
            </w:pPr>
            <w:r>
              <w:rPr>
                <w:rFonts w:hint="default" w:ascii="Times New Roman" w:hAnsi="Times New Roman" w:eastAsia="仿宋_GB2312" w:cs="Times New Roman"/>
                <w:b/>
                <w:bCs/>
                <w:color w:val="auto"/>
                <w:sz w:val="24"/>
                <w:highlight w:val="none"/>
              </w:rPr>
              <w:t>建设性质</w:t>
            </w:r>
          </w:p>
        </w:tc>
        <w:tc>
          <w:tcPr>
            <w:tcW w:w="2830" w:type="dxa"/>
            <w:tcBorders>
              <w:tl2br w:val="nil"/>
              <w:tr2bl w:val="nil"/>
            </w:tcBorders>
            <w:vAlign w:val="center"/>
          </w:tcPr>
          <w:p>
            <w:pPr>
              <w:snapToGrid w:val="0"/>
              <w:jc w:val="left"/>
              <w:rPr>
                <w:rFonts w:hint="default" w:ascii="Times New Roman" w:hAnsi="Times New Roman" w:eastAsia="仿宋_GB2312" w:cs="Times New Roman"/>
                <w:color w:val="auto"/>
                <w:sz w:val="24"/>
                <w:highlight w:val="none"/>
                <w:lang w:eastAsia="zh-CN"/>
              </w:rPr>
            </w:pPr>
            <w:r>
              <w:rPr>
                <w:rFonts w:hint="default" w:ascii="Times New Roman" w:hAnsi="Times New Roman" w:eastAsia="仿宋_GB2312" w:cs="Times New Roman"/>
                <w:color w:val="auto"/>
                <w:sz w:val="24"/>
                <w:highlight w:val="none"/>
                <w:lang w:eastAsia="zh-CN"/>
              </w:rPr>
              <w:sym w:font="Wingdings 2" w:char="0052"/>
            </w:r>
            <w:r>
              <w:rPr>
                <w:rFonts w:hint="default" w:ascii="Times New Roman" w:hAnsi="Times New Roman" w:eastAsia="仿宋_GB2312" w:cs="Times New Roman"/>
                <w:color w:val="auto"/>
                <w:sz w:val="24"/>
                <w:highlight w:val="none"/>
                <w:lang w:eastAsia="zh-CN"/>
              </w:rPr>
              <w:t>新建（迁建）</w:t>
            </w:r>
          </w:p>
          <w:p>
            <w:pPr>
              <w:snapToGrid w:val="0"/>
              <w:jc w:val="left"/>
              <w:rPr>
                <w:rFonts w:hint="default" w:ascii="Times New Roman" w:hAnsi="Times New Roman" w:eastAsia="仿宋_GB2312" w:cs="Times New Roman"/>
                <w:color w:val="auto"/>
                <w:sz w:val="24"/>
                <w:highlight w:val="none"/>
                <w:lang w:eastAsia="zh-CN"/>
              </w:rPr>
            </w:pPr>
            <w:r>
              <w:rPr>
                <w:rFonts w:hint="eastAsia" w:ascii="Times New Roman" w:hAnsi="Times New Roman" w:eastAsia="仿宋_GB2312" w:cs="Times New Roman"/>
                <w:color w:val="auto"/>
                <w:sz w:val="24"/>
                <w:highlight w:val="none"/>
                <w:lang w:eastAsia="zh-CN"/>
              </w:rPr>
              <w:t>□</w:t>
            </w:r>
            <w:r>
              <w:rPr>
                <w:rFonts w:hint="default" w:ascii="Times New Roman" w:hAnsi="Times New Roman" w:eastAsia="仿宋_GB2312" w:cs="Times New Roman"/>
                <w:color w:val="auto"/>
                <w:sz w:val="24"/>
                <w:highlight w:val="none"/>
                <w:lang w:eastAsia="zh-CN"/>
              </w:rPr>
              <w:t>改建</w:t>
            </w:r>
          </w:p>
          <w:p>
            <w:pPr>
              <w:snapToGrid w:val="0"/>
              <w:jc w:val="left"/>
              <w:rPr>
                <w:rFonts w:hint="default" w:ascii="Times New Roman" w:hAnsi="Times New Roman" w:eastAsia="仿宋_GB2312" w:cs="Times New Roman"/>
                <w:color w:val="auto"/>
                <w:sz w:val="24"/>
                <w:highlight w:val="none"/>
                <w:lang w:eastAsia="zh-CN"/>
              </w:rPr>
            </w:pPr>
            <w:r>
              <w:rPr>
                <w:rFonts w:hint="eastAsia" w:ascii="Times New Roman" w:hAnsi="Times New Roman" w:eastAsia="仿宋_GB2312" w:cs="Times New Roman"/>
                <w:color w:val="auto"/>
                <w:sz w:val="24"/>
                <w:highlight w:val="none"/>
                <w:lang w:eastAsia="zh-CN"/>
              </w:rPr>
              <w:t>□</w:t>
            </w:r>
            <w:r>
              <w:rPr>
                <w:rFonts w:hint="default" w:ascii="Times New Roman" w:hAnsi="Times New Roman" w:eastAsia="仿宋_GB2312" w:cs="Times New Roman"/>
                <w:color w:val="auto"/>
                <w:sz w:val="24"/>
                <w:highlight w:val="none"/>
                <w:lang w:eastAsia="zh-CN"/>
              </w:rPr>
              <w:t>扩建</w:t>
            </w:r>
          </w:p>
          <w:p>
            <w:pPr>
              <w:snapToGrid w:val="0"/>
              <w:jc w:val="left"/>
              <w:rPr>
                <w:rFonts w:hint="default" w:ascii="Times New Roman" w:hAnsi="Times New Roman" w:eastAsia="仿宋_GB2312" w:cs="Times New Roman"/>
                <w:color w:val="auto"/>
                <w:sz w:val="24"/>
                <w:highlight w:val="none"/>
                <w:lang w:eastAsia="zh-CN"/>
              </w:rPr>
            </w:pPr>
            <w:r>
              <w:rPr>
                <w:rFonts w:hint="eastAsia" w:ascii="Times New Roman" w:hAnsi="Times New Roman" w:eastAsia="仿宋_GB2312" w:cs="Times New Roman"/>
                <w:color w:val="auto"/>
                <w:sz w:val="24"/>
                <w:highlight w:val="none"/>
                <w:lang w:eastAsia="zh-CN"/>
              </w:rPr>
              <w:t>□</w:t>
            </w:r>
            <w:r>
              <w:rPr>
                <w:rFonts w:hint="default" w:ascii="Times New Roman" w:hAnsi="Times New Roman" w:eastAsia="仿宋_GB2312" w:cs="Times New Roman"/>
                <w:color w:val="auto"/>
                <w:sz w:val="24"/>
                <w:highlight w:val="none"/>
                <w:lang w:eastAsia="zh-CN"/>
              </w:rPr>
              <w:t>技术改造</w:t>
            </w:r>
          </w:p>
        </w:tc>
        <w:tc>
          <w:tcPr>
            <w:tcW w:w="1818" w:type="dxa"/>
            <w:tcBorders>
              <w:tl2br w:val="nil"/>
              <w:tr2bl w:val="nil"/>
            </w:tcBorders>
            <w:vAlign w:val="center"/>
          </w:tcPr>
          <w:p>
            <w:pPr>
              <w:adjustRightInd w:val="0"/>
              <w:snapToGrid w:val="0"/>
              <w:jc w:val="center"/>
              <w:rPr>
                <w:rFonts w:hint="default" w:ascii="Times New Roman" w:hAnsi="Times New Roman" w:eastAsia="仿宋_GB2312" w:cs="Times New Roman"/>
                <w:b/>
                <w:bCs/>
                <w:color w:val="auto"/>
                <w:sz w:val="24"/>
                <w:highlight w:val="none"/>
              </w:rPr>
            </w:pPr>
            <w:r>
              <w:rPr>
                <w:rFonts w:hint="default" w:ascii="Times New Roman" w:hAnsi="Times New Roman" w:eastAsia="仿宋_GB2312" w:cs="Times New Roman"/>
                <w:b/>
                <w:bCs/>
                <w:color w:val="auto"/>
                <w:sz w:val="24"/>
                <w:highlight w:val="none"/>
              </w:rPr>
              <w:t>建设项目</w:t>
            </w:r>
          </w:p>
          <w:p>
            <w:pPr>
              <w:adjustRightInd w:val="0"/>
              <w:snapToGrid w:val="0"/>
              <w:jc w:val="center"/>
              <w:rPr>
                <w:rFonts w:hint="default" w:ascii="Times New Roman" w:hAnsi="Times New Roman" w:eastAsia="仿宋_GB2312" w:cs="Times New Roman"/>
                <w:b/>
                <w:bCs/>
                <w:color w:val="auto"/>
                <w:sz w:val="24"/>
                <w:highlight w:val="none"/>
              </w:rPr>
            </w:pPr>
            <w:r>
              <w:rPr>
                <w:rFonts w:hint="default" w:ascii="Times New Roman" w:hAnsi="Times New Roman" w:eastAsia="仿宋_GB2312" w:cs="Times New Roman"/>
                <w:b/>
                <w:bCs/>
                <w:color w:val="auto"/>
                <w:sz w:val="24"/>
                <w:highlight w:val="none"/>
              </w:rPr>
              <w:t>申报情形</w:t>
            </w:r>
          </w:p>
        </w:tc>
        <w:tc>
          <w:tcPr>
            <w:tcW w:w="2915" w:type="dxa"/>
            <w:tcBorders>
              <w:tl2br w:val="nil"/>
              <w:tr2bl w:val="nil"/>
            </w:tcBorders>
            <w:vAlign w:val="center"/>
          </w:tcPr>
          <w:p>
            <w:pPr>
              <w:snapToGrid w:val="0"/>
              <w:jc w:val="left"/>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lang w:eastAsia="zh-CN"/>
              </w:rPr>
              <w:sym w:font="Wingdings 2" w:char="0052"/>
            </w:r>
            <w:r>
              <w:rPr>
                <w:rFonts w:hint="default" w:ascii="Times New Roman" w:hAnsi="Times New Roman" w:eastAsia="仿宋_GB2312" w:cs="Times New Roman"/>
                <w:color w:val="auto"/>
                <w:sz w:val="24"/>
                <w:highlight w:val="none"/>
              </w:rPr>
              <w:t>首次申报项目</w:t>
            </w:r>
          </w:p>
          <w:p>
            <w:pPr>
              <w:snapToGrid w:val="0"/>
              <w:jc w:val="left"/>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□不予批准后再次申报项目</w:t>
            </w:r>
          </w:p>
          <w:p>
            <w:pPr>
              <w:snapToGrid w:val="0"/>
              <w:jc w:val="left"/>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□超五年重新审核项目</w:t>
            </w:r>
          </w:p>
          <w:p>
            <w:pPr>
              <w:snapToGrid w:val="0"/>
              <w:jc w:val="left"/>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□重大变动重新报批项目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1547" w:type="dxa"/>
            <w:tcBorders>
              <w:tl2br w:val="nil"/>
              <w:tr2bl w:val="nil"/>
            </w:tcBorders>
            <w:tcMar>
              <w:top w:w="16" w:type="dxa"/>
              <w:left w:w="16" w:type="dxa"/>
              <w:right w:w="16" w:type="dxa"/>
            </w:tcMar>
            <w:vAlign w:val="center"/>
          </w:tcPr>
          <w:p>
            <w:pPr>
              <w:adjustRightInd w:val="0"/>
              <w:snapToGrid w:val="0"/>
              <w:jc w:val="center"/>
              <w:rPr>
                <w:rFonts w:hint="default" w:ascii="Times New Roman" w:hAnsi="Times New Roman" w:eastAsia="仿宋_GB2312" w:cs="Times New Roman"/>
                <w:b/>
                <w:bCs/>
                <w:color w:val="auto"/>
                <w:sz w:val="24"/>
                <w:highlight w:val="none"/>
              </w:rPr>
            </w:pPr>
            <w:r>
              <w:rPr>
                <w:rFonts w:hint="default" w:ascii="Times New Roman" w:hAnsi="Times New Roman" w:eastAsia="仿宋_GB2312" w:cs="Times New Roman"/>
                <w:b/>
                <w:bCs/>
                <w:color w:val="auto"/>
                <w:sz w:val="24"/>
                <w:highlight w:val="none"/>
              </w:rPr>
              <w:t>项目审批部门</w:t>
            </w:r>
          </w:p>
        </w:tc>
        <w:tc>
          <w:tcPr>
            <w:tcW w:w="2830" w:type="dxa"/>
            <w:tcBorders>
              <w:tl2br w:val="nil"/>
              <w:tr2bl w:val="nil"/>
            </w:tcBorders>
            <w:vAlign w:val="center"/>
          </w:tcPr>
          <w:p>
            <w:pPr>
              <w:adjustRightInd w:val="0"/>
              <w:snapToGrid w:val="0"/>
              <w:jc w:val="center"/>
              <w:rPr>
                <w:rFonts w:hint="default" w:ascii="Times New Roman" w:hAnsi="Times New Roman" w:eastAsia="仿宋_GB2312" w:cs="Times New Roman"/>
                <w:color w:val="auto"/>
                <w:sz w:val="24"/>
                <w:highlight w:val="none"/>
                <w:lang w:val="en-US" w:eastAsia="zh-CN"/>
              </w:rPr>
            </w:pPr>
            <w:r>
              <w:rPr>
                <w:rFonts w:hint="eastAsia" w:eastAsia="仿宋_GB2312" w:cs="Times New Roman"/>
                <w:color w:val="auto"/>
                <w:sz w:val="24"/>
                <w:highlight w:val="none"/>
                <w:lang w:val="en-US" w:eastAsia="zh-CN"/>
              </w:rPr>
              <w:t>泾源县审批服务管理局</w:t>
            </w:r>
          </w:p>
        </w:tc>
        <w:tc>
          <w:tcPr>
            <w:tcW w:w="1818" w:type="dxa"/>
            <w:tcBorders>
              <w:tl2br w:val="nil"/>
              <w:tr2bl w:val="nil"/>
            </w:tcBorders>
            <w:vAlign w:val="center"/>
          </w:tcPr>
          <w:p>
            <w:pPr>
              <w:adjustRightInd w:val="0"/>
              <w:snapToGrid w:val="0"/>
              <w:jc w:val="center"/>
              <w:rPr>
                <w:rFonts w:hint="default" w:ascii="Times New Roman" w:hAnsi="Times New Roman" w:eastAsia="仿宋_GB2312" w:cs="Times New Roman"/>
                <w:b/>
                <w:bCs/>
                <w:color w:val="auto"/>
                <w:sz w:val="24"/>
                <w:highlight w:val="none"/>
              </w:rPr>
            </w:pPr>
            <w:r>
              <w:rPr>
                <w:rFonts w:hint="default" w:ascii="Times New Roman" w:hAnsi="Times New Roman" w:eastAsia="仿宋_GB2312" w:cs="Times New Roman"/>
                <w:b/>
                <w:bCs/>
                <w:color w:val="auto"/>
                <w:sz w:val="24"/>
                <w:highlight w:val="none"/>
              </w:rPr>
              <w:t>项目审批文号</w:t>
            </w:r>
          </w:p>
        </w:tc>
        <w:tc>
          <w:tcPr>
            <w:tcW w:w="2915" w:type="dxa"/>
            <w:tcBorders>
              <w:tl2br w:val="nil"/>
              <w:tr2bl w:val="nil"/>
            </w:tcBorders>
            <w:vAlign w:val="center"/>
          </w:tcPr>
          <w:p>
            <w:pPr>
              <w:snapToGrid w:val="0"/>
              <w:jc w:val="center"/>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泾审批发</w:t>
            </w:r>
            <w:r>
              <w:rPr>
                <w:rFonts w:hint="eastAsia" w:ascii="仿宋_GB2312" w:hAnsi="仿宋_GB2312" w:eastAsia="仿宋_GB2312" w:cs="仿宋_GB2312"/>
                <w:color w:val="auto"/>
                <w:sz w:val="24"/>
                <w:highlight w:val="none"/>
                <w:lang w:val="en-US" w:eastAsia="zh-CN"/>
              </w:rPr>
              <w:t>〔</w:t>
            </w:r>
            <w:r>
              <w:rPr>
                <w:rFonts w:hint="default" w:ascii="Times New Roman" w:hAnsi="Times New Roman" w:eastAsia="仿宋_GB2312" w:cs="Times New Roman"/>
                <w:color w:val="auto"/>
                <w:sz w:val="24"/>
                <w:highlight w:val="none"/>
                <w:lang w:val="en-US" w:eastAsia="zh-CN"/>
              </w:rPr>
              <w:t>2025</w:t>
            </w:r>
            <w:r>
              <w:rPr>
                <w:rFonts w:hint="eastAsia" w:ascii="仿宋_GB2312" w:hAnsi="仿宋_GB2312" w:eastAsia="仿宋_GB2312" w:cs="仿宋_GB2312"/>
                <w:color w:val="auto"/>
                <w:sz w:val="24"/>
                <w:highlight w:val="none"/>
                <w:lang w:val="en-US" w:eastAsia="zh-CN"/>
              </w:rPr>
              <w:t>〕</w:t>
            </w:r>
            <w:r>
              <w:rPr>
                <w:rFonts w:hint="eastAsia" w:eastAsia="仿宋_GB2312" w:cs="Times New Roman"/>
                <w:color w:val="auto"/>
                <w:sz w:val="24"/>
                <w:highlight w:val="none"/>
                <w:lang w:val="en-US" w:eastAsia="zh-CN"/>
              </w:rPr>
              <w:t>117</w:t>
            </w:r>
            <w:r>
              <w:rPr>
                <w:rFonts w:hint="default" w:ascii="Times New Roman" w:hAnsi="Times New Roman" w:eastAsia="仿宋_GB2312" w:cs="Times New Roman"/>
                <w:color w:val="auto"/>
                <w:sz w:val="24"/>
                <w:highlight w:val="none"/>
                <w:lang w:val="en-US" w:eastAsia="zh-CN"/>
              </w:rPr>
              <w:t>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28" w:hRule="atLeast"/>
          <w:jc w:val="center"/>
        </w:trPr>
        <w:tc>
          <w:tcPr>
            <w:tcW w:w="1547" w:type="dxa"/>
            <w:tcBorders>
              <w:tl2br w:val="nil"/>
              <w:tr2bl w:val="nil"/>
            </w:tcBorders>
            <w:tcMar>
              <w:top w:w="16" w:type="dxa"/>
              <w:left w:w="16" w:type="dxa"/>
              <w:right w:w="16" w:type="dxa"/>
            </w:tcMar>
            <w:vAlign w:val="center"/>
          </w:tcPr>
          <w:p>
            <w:pPr>
              <w:adjustRightInd w:val="0"/>
              <w:snapToGrid w:val="0"/>
              <w:jc w:val="center"/>
              <w:rPr>
                <w:rFonts w:hint="default" w:ascii="Times New Roman" w:hAnsi="Times New Roman" w:eastAsia="仿宋_GB2312" w:cs="Times New Roman"/>
                <w:b/>
                <w:bCs/>
                <w:color w:val="auto"/>
                <w:sz w:val="24"/>
                <w:highlight w:val="none"/>
              </w:rPr>
            </w:pPr>
            <w:r>
              <w:rPr>
                <w:rFonts w:hint="default" w:ascii="Times New Roman" w:hAnsi="Times New Roman" w:eastAsia="仿宋_GB2312" w:cs="Times New Roman"/>
                <w:b/>
                <w:bCs/>
                <w:color w:val="auto"/>
                <w:sz w:val="24"/>
                <w:highlight w:val="none"/>
              </w:rPr>
              <w:t>总投资（万元）</w:t>
            </w:r>
          </w:p>
        </w:tc>
        <w:tc>
          <w:tcPr>
            <w:tcW w:w="2830" w:type="dxa"/>
            <w:tcBorders>
              <w:tl2br w:val="nil"/>
              <w:tr2bl w:val="nil"/>
            </w:tcBorders>
            <w:vAlign w:val="center"/>
          </w:tcPr>
          <w:p>
            <w:pPr>
              <w:keepNext w:val="0"/>
              <w:keepLines w:val="0"/>
              <w:widowControl/>
              <w:suppressLineNumbers w:val="0"/>
              <w:jc w:val="center"/>
              <w:rPr>
                <w:rFonts w:hint="default" w:ascii="Times New Roman" w:hAnsi="Times New Roman" w:eastAsia="仿宋_GB2312" w:cs="Times New Roman"/>
                <w:color w:val="auto"/>
                <w:sz w:val="24"/>
                <w:highlight w:val="none"/>
                <w:lang w:val="en-US" w:eastAsia="zh-CN"/>
              </w:rPr>
            </w:pPr>
            <w:r>
              <w:rPr>
                <w:rFonts w:hint="eastAsia" w:cs="Times New Roman"/>
                <w:color w:val="auto"/>
                <w:kern w:val="0"/>
                <w:sz w:val="24"/>
                <w:szCs w:val="24"/>
                <w:highlight w:val="none"/>
                <w:lang w:val="en-US" w:eastAsia="zh-CN" w:bidi="ar"/>
              </w:rPr>
              <w:t>4893.93</w:t>
            </w:r>
          </w:p>
        </w:tc>
        <w:tc>
          <w:tcPr>
            <w:tcW w:w="1818" w:type="dxa"/>
            <w:tcBorders>
              <w:tl2br w:val="nil"/>
              <w:tr2bl w:val="nil"/>
            </w:tcBorders>
            <w:tcMar>
              <w:top w:w="16" w:type="dxa"/>
              <w:left w:w="16" w:type="dxa"/>
              <w:right w:w="16" w:type="dxa"/>
            </w:tcMar>
            <w:vAlign w:val="center"/>
          </w:tcPr>
          <w:p>
            <w:pPr>
              <w:adjustRightInd w:val="0"/>
              <w:snapToGrid w:val="0"/>
              <w:jc w:val="center"/>
              <w:rPr>
                <w:rFonts w:hint="default" w:ascii="Times New Roman" w:hAnsi="Times New Roman" w:eastAsia="仿宋_GB2312" w:cs="Times New Roman"/>
                <w:color w:val="auto"/>
                <w:highlight w:val="none"/>
              </w:rPr>
            </w:pPr>
            <w:r>
              <w:rPr>
                <w:rFonts w:hint="default" w:ascii="Times New Roman" w:hAnsi="Times New Roman" w:eastAsia="仿宋_GB2312" w:cs="Times New Roman"/>
                <w:b/>
                <w:bCs/>
                <w:color w:val="auto"/>
                <w:sz w:val="24"/>
                <w:highlight w:val="none"/>
              </w:rPr>
              <w:t>环保投资（万元）</w:t>
            </w:r>
          </w:p>
        </w:tc>
        <w:tc>
          <w:tcPr>
            <w:tcW w:w="2915" w:type="dxa"/>
            <w:tcBorders>
              <w:tl2br w:val="nil"/>
              <w:tr2bl w:val="nil"/>
            </w:tcBorders>
            <w:vAlign w:val="center"/>
          </w:tcPr>
          <w:p>
            <w:pPr>
              <w:snapToGrid w:val="0"/>
              <w:jc w:val="center"/>
              <w:rPr>
                <w:rFonts w:hint="default" w:ascii="Times New Roman" w:hAnsi="Times New Roman" w:eastAsia="仿宋_GB2312" w:cs="Times New Roman"/>
                <w:color w:val="auto"/>
                <w:sz w:val="24"/>
                <w:highlight w:val="none"/>
                <w:lang w:val="en-US" w:eastAsia="zh-CN"/>
              </w:rPr>
            </w:pPr>
            <w:r>
              <w:rPr>
                <w:rFonts w:hint="eastAsia" w:eastAsia="仿宋_GB2312" w:cs="Times New Roman"/>
                <w:color w:val="auto"/>
                <w:sz w:val="24"/>
                <w:highlight w:val="none"/>
                <w:lang w:val="en-US" w:eastAsia="zh-CN"/>
              </w:rPr>
              <w:t>249.35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547" w:type="dxa"/>
            <w:tcBorders>
              <w:tl2br w:val="nil"/>
              <w:tr2bl w:val="nil"/>
            </w:tcBorders>
            <w:tcMar>
              <w:top w:w="16" w:type="dxa"/>
              <w:left w:w="16" w:type="dxa"/>
              <w:right w:w="16" w:type="dxa"/>
            </w:tcMar>
            <w:vAlign w:val="center"/>
          </w:tcPr>
          <w:p>
            <w:pPr>
              <w:adjustRightInd w:val="0"/>
              <w:snapToGrid w:val="0"/>
              <w:jc w:val="center"/>
              <w:rPr>
                <w:rFonts w:hint="default" w:ascii="Times New Roman" w:hAnsi="Times New Roman" w:eastAsia="仿宋_GB2312" w:cs="Times New Roman"/>
                <w:color w:val="auto"/>
                <w:highlight w:val="none"/>
              </w:rPr>
            </w:pPr>
            <w:r>
              <w:rPr>
                <w:rFonts w:hint="default" w:ascii="Times New Roman" w:hAnsi="Times New Roman" w:eastAsia="仿宋_GB2312" w:cs="Times New Roman"/>
                <w:b/>
                <w:bCs/>
                <w:color w:val="auto"/>
                <w:sz w:val="24"/>
                <w:highlight w:val="none"/>
              </w:rPr>
              <w:t>环保投资占比（%）</w:t>
            </w:r>
          </w:p>
        </w:tc>
        <w:tc>
          <w:tcPr>
            <w:tcW w:w="2830" w:type="dxa"/>
            <w:tcBorders>
              <w:tl2br w:val="nil"/>
              <w:tr2bl w:val="nil"/>
            </w:tcBorders>
            <w:vAlign w:val="center"/>
          </w:tcPr>
          <w:p>
            <w:pPr>
              <w:adjustRightInd w:val="0"/>
              <w:snapToGrid w:val="0"/>
              <w:jc w:val="center"/>
              <w:rPr>
                <w:rFonts w:hint="default" w:ascii="Times New Roman" w:hAnsi="Times New Roman" w:eastAsia="仿宋_GB2312" w:cs="Times New Roman"/>
                <w:color w:val="auto"/>
                <w:sz w:val="24"/>
                <w:highlight w:val="none"/>
                <w:lang w:val="en-US" w:eastAsia="zh-CN"/>
              </w:rPr>
            </w:pPr>
            <w:r>
              <w:rPr>
                <w:rFonts w:hint="eastAsia" w:eastAsia="仿宋_GB2312" w:cs="Times New Roman"/>
                <w:color w:val="auto"/>
                <w:sz w:val="24"/>
                <w:highlight w:val="none"/>
                <w:lang w:val="en-US" w:eastAsia="zh-CN"/>
              </w:rPr>
              <w:t>5.09</w:t>
            </w:r>
          </w:p>
        </w:tc>
        <w:tc>
          <w:tcPr>
            <w:tcW w:w="1818" w:type="dxa"/>
            <w:tcBorders>
              <w:tl2br w:val="nil"/>
              <w:tr2bl w:val="nil"/>
            </w:tcBorders>
            <w:tcMar>
              <w:top w:w="16" w:type="dxa"/>
              <w:left w:w="16" w:type="dxa"/>
              <w:right w:w="16" w:type="dxa"/>
            </w:tcMar>
            <w:vAlign w:val="center"/>
          </w:tcPr>
          <w:p>
            <w:pPr>
              <w:adjustRightInd w:val="0"/>
              <w:snapToGrid w:val="0"/>
              <w:jc w:val="center"/>
              <w:rPr>
                <w:rFonts w:hint="default" w:ascii="Times New Roman" w:hAnsi="Times New Roman" w:eastAsia="仿宋_GB2312" w:cs="Times New Roman"/>
                <w:b/>
                <w:bCs/>
                <w:color w:val="auto"/>
                <w:sz w:val="24"/>
                <w:highlight w:val="none"/>
              </w:rPr>
            </w:pPr>
            <w:r>
              <w:rPr>
                <w:rFonts w:hint="default" w:ascii="Times New Roman" w:hAnsi="Times New Roman" w:eastAsia="仿宋_GB2312" w:cs="Times New Roman"/>
                <w:b/>
                <w:bCs/>
                <w:color w:val="auto"/>
                <w:sz w:val="24"/>
                <w:highlight w:val="none"/>
              </w:rPr>
              <w:t>施工工期</w:t>
            </w:r>
          </w:p>
        </w:tc>
        <w:tc>
          <w:tcPr>
            <w:tcW w:w="2915" w:type="dxa"/>
            <w:tcBorders>
              <w:tl2br w:val="nil"/>
              <w:tr2bl w:val="nil"/>
            </w:tcBorders>
            <w:vAlign w:val="center"/>
          </w:tcPr>
          <w:p>
            <w:pPr>
              <w:snapToGrid w:val="0"/>
              <w:jc w:val="center"/>
              <w:rPr>
                <w:rFonts w:hint="default" w:ascii="Times New Roman" w:hAnsi="Times New Roman" w:eastAsia="仿宋_GB2312" w:cs="Times New Roman"/>
                <w:color w:val="auto"/>
                <w:sz w:val="24"/>
                <w:highlight w:val="none"/>
                <w:lang w:val="en-US" w:eastAsia="zh-CN"/>
              </w:rPr>
            </w:pPr>
            <w:r>
              <w:rPr>
                <w:rFonts w:hint="eastAsia" w:eastAsia="仿宋_GB2312" w:cs="Times New Roman"/>
                <w:color w:val="auto"/>
                <w:sz w:val="24"/>
                <w:highlight w:val="none"/>
                <w:lang w:val="en-US" w:eastAsia="zh-CN"/>
              </w:rPr>
              <w:t>12个月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72" w:hRule="atLeast"/>
          <w:jc w:val="center"/>
        </w:trPr>
        <w:tc>
          <w:tcPr>
            <w:tcW w:w="1547" w:type="dxa"/>
            <w:tcBorders>
              <w:tl2br w:val="nil"/>
              <w:tr2bl w:val="nil"/>
            </w:tcBorders>
            <w:tcMar>
              <w:top w:w="16" w:type="dxa"/>
              <w:left w:w="16" w:type="dxa"/>
              <w:right w:w="16" w:type="dxa"/>
            </w:tcMar>
            <w:vAlign w:val="center"/>
          </w:tcPr>
          <w:p>
            <w:pPr>
              <w:adjustRightInd w:val="0"/>
              <w:snapToGrid w:val="0"/>
              <w:jc w:val="center"/>
              <w:rPr>
                <w:rFonts w:hint="default" w:ascii="Times New Roman" w:hAnsi="Times New Roman" w:eastAsia="仿宋_GB2312" w:cs="Times New Roman"/>
                <w:b/>
                <w:bCs/>
                <w:color w:val="auto"/>
                <w:sz w:val="24"/>
                <w:highlight w:val="none"/>
              </w:rPr>
            </w:pPr>
            <w:r>
              <w:rPr>
                <w:rFonts w:hint="default" w:ascii="Times New Roman" w:hAnsi="Times New Roman" w:eastAsia="仿宋_GB2312" w:cs="Times New Roman"/>
                <w:b/>
                <w:bCs/>
                <w:color w:val="auto"/>
                <w:sz w:val="24"/>
                <w:highlight w:val="none"/>
              </w:rPr>
              <w:t>是否开工建设</w:t>
            </w:r>
          </w:p>
        </w:tc>
        <w:tc>
          <w:tcPr>
            <w:tcW w:w="7563" w:type="dxa"/>
            <w:gridSpan w:val="3"/>
            <w:tcBorders>
              <w:tl2br w:val="nil"/>
              <w:tr2bl w:val="nil"/>
            </w:tcBorders>
            <w:vAlign w:val="center"/>
          </w:tcPr>
          <w:p>
            <w:pPr>
              <w:adjustRightInd w:val="0"/>
              <w:snapToGrid w:val="0"/>
              <w:ind w:firstLine="240" w:firstLineChars="100"/>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sym w:font="Wingdings 2" w:char="0052"/>
            </w:r>
            <w:r>
              <w:rPr>
                <w:rFonts w:hint="default" w:ascii="Times New Roman" w:hAnsi="Times New Roman" w:eastAsia="仿宋_GB2312" w:cs="Times New Roman"/>
                <w:color w:val="auto"/>
                <w:sz w:val="24"/>
                <w:highlight w:val="none"/>
              </w:rPr>
              <w:t>否</w:t>
            </w:r>
          </w:p>
          <w:p>
            <w:pPr>
              <w:pStyle w:val="34"/>
              <w:rPr>
                <w:rFonts w:hint="default" w:ascii="Times New Roman" w:hAnsi="Times New Roman" w:eastAsia="仿宋_GB2312" w:cs="Times New Roman"/>
                <w:b/>
                <w:bCs/>
                <w:color w:val="auto"/>
                <w:highlight w:val="none"/>
                <w:u w:val="none"/>
                <w:lang w:val="en-US" w:eastAsia="zh-CN"/>
              </w:rPr>
            </w:pPr>
            <w:r>
              <w:rPr>
                <w:rFonts w:hint="default" w:ascii="Times New Roman" w:hAnsi="Times New Roman" w:eastAsia="仿宋_GB2312" w:cs="Times New Roman"/>
                <w:color w:val="auto"/>
                <w:sz w:val="24"/>
                <w:highlight w:val="none"/>
              </w:rPr>
              <w:t>□是：</w:t>
            </w:r>
            <w:r>
              <w:rPr>
                <w:rFonts w:hint="default" w:ascii="Times New Roman" w:hAnsi="Times New Roman" w:eastAsia="仿宋_GB2312" w:cs="Times New Roman"/>
                <w:color w:val="auto"/>
                <w:sz w:val="24"/>
                <w:highlight w:val="none"/>
                <w:u w:val="single"/>
                <w:lang w:val="en-US" w:eastAsia="zh-CN"/>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92" w:hRule="atLeast"/>
          <w:jc w:val="center"/>
        </w:trPr>
        <w:tc>
          <w:tcPr>
            <w:tcW w:w="1547" w:type="dxa"/>
            <w:tcBorders>
              <w:tl2br w:val="nil"/>
              <w:tr2bl w:val="nil"/>
            </w:tcBorders>
            <w:vAlign w:val="center"/>
          </w:tcPr>
          <w:p>
            <w:pPr>
              <w:autoSpaceDE w:val="0"/>
              <w:autoSpaceDN w:val="0"/>
              <w:adjustRightInd w:val="0"/>
              <w:snapToGrid w:val="0"/>
              <w:jc w:val="center"/>
              <w:rPr>
                <w:rFonts w:hint="default" w:ascii="Times New Roman" w:hAnsi="Times New Roman" w:eastAsia="仿宋_GB2312" w:cs="Times New Roman"/>
                <w:b/>
                <w:bCs/>
                <w:color w:val="auto"/>
                <w:kern w:val="0"/>
                <w:sz w:val="24"/>
                <w:highlight w:val="none"/>
              </w:rPr>
            </w:pPr>
            <w:r>
              <w:rPr>
                <w:rFonts w:hint="default" w:ascii="Times New Roman" w:hAnsi="Times New Roman" w:eastAsia="仿宋_GB2312" w:cs="Times New Roman"/>
                <w:b/>
                <w:bCs/>
                <w:color w:val="auto"/>
                <w:kern w:val="0"/>
                <w:sz w:val="24"/>
                <w:highlight w:val="none"/>
              </w:rPr>
              <w:t>专项评价设置情况</w:t>
            </w:r>
          </w:p>
        </w:tc>
        <w:tc>
          <w:tcPr>
            <w:tcW w:w="7563" w:type="dxa"/>
            <w:gridSpan w:val="3"/>
            <w:tcBorders>
              <w:tl2br w:val="nil"/>
              <w:tr2bl w:val="nil"/>
            </w:tcBorders>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right="0" w:firstLine="456" w:firstLineChars="200"/>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b w:val="0"/>
                <w:bCs w:val="0"/>
                <w:color w:val="auto"/>
                <w:spacing w:val="-6"/>
                <w:kern w:val="16"/>
                <w:sz w:val="24"/>
                <w:highlight w:val="none"/>
                <w:lang w:val="en-US" w:eastAsia="zh-CN"/>
              </w:rPr>
              <w:t>根据《建设项目环境影响报告表编制技术指南（生态影响类）》（试行）中“表1专项评价设置原则表”：涉及环境敏感区（不包括饮用水水源保护区，以居住、医疗卫生、文化教育、科研、行政办公为主要功能的区域，以及文物保护单位）的项目需开展生态影响评价专章。</w:t>
            </w:r>
            <w:r>
              <w:rPr>
                <w:rFonts w:hint="eastAsia" w:eastAsia="仿宋_GB2312" w:cs="Times New Roman"/>
                <w:b w:val="0"/>
                <w:bCs w:val="0"/>
                <w:color w:val="auto"/>
                <w:spacing w:val="-6"/>
                <w:kern w:val="16"/>
                <w:sz w:val="24"/>
                <w:highlight w:val="none"/>
                <w:lang w:val="en-US" w:eastAsia="zh-CN"/>
              </w:rPr>
              <w:t>根据宁夏回族自治区水土流失重点防治区划分图，</w:t>
            </w:r>
            <w:r>
              <w:rPr>
                <w:rFonts w:hint="default" w:ascii="Times New Roman" w:hAnsi="Times New Roman" w:eastAsia="仿宋_GB2312" w:cs="Times New Roman"/>
                <w:b w:val="0"/>
                <w:bCs w:val="0"/>
                <w:color w:val="auto"/>
                <w:spacing w:val="-6"/>
                <w:kern w:val="16"/>
                <w:sz w:val="24"/>
                <w:highlight w:val="none"/>
                <w:lang w:val="en-US" w:eastAsia="zh-CN"/>
              </w:rPr>
              <w:t>本项目</w:t>
            </w:r>
            <w:r>
              <w:rPr>
                <w:rFonts w:hint="eastAsia" w:ascii="Times New Roman" w:hAnsi="Times New Roman" w:eastAsia="仿宋_GB2312" w:cs="Times New Roman"/>
                <w:b w:val="0"/>
                <w:bCs w:val="0"/>
                <w:color w:val="auto"/>
                <w:spacing w:val="-6"/>
                <w:kern w:val="16"/>
                <w:sz w:val="24"/>
                <w:highlight w:val="none"/>
                <w:lang w:val="en-US" w:eastAsia="zh-CN"/>
              </w:rPr>
              <w:t>涉及</w:t>
            </w:r>
            <w:r>
              <w:rPr>
                <w:rFonts w:hint="eastAsia" w:eastAsia="仿宋_GB2312" w:cs="Times New Roman"/>
                <w:b w:val="0"/>
                <w:bCs w:val="0"/>
                <w:color w:val="auto"/>
                <w:spacing w:val="-6"/>
                <w:kern w:val="16"/>
                <w:sz w:val="24"/>
                <w:highlight w:val="none"/>
                <w:lang w:val="en-US" w:eastAsia="zh-CN"/>
              </w:rPr>
              <w:t>泾源县</w:t>
            </w:r>
            <w:r>
              <w:rPr>
                <w:rFonts w:hint="eastAsia" w:ascii="Times New Roman" w:hAnsi="Times New Roman" w:eastAsia="仿宋_GB2312" w:cs="Times New Roman"/>
                <w:b w:val="0"/>
                <w:bCs w:val="0"/>
                <w:color w:val="auto"/>
                <w:spacing w:val="-6"/>
                <w:kern w:val="16"/>
                <w:sz w:val="24"/>
                <w:highlight w:val="none"/>
                <w:lang w:val="en-US" w:eastAsia="zh-CN"/>
              </w:rPr>
              <w:t>水土流失重点预防区和重点治理区</w:t>
            </w:r>
            <w:r>
              <w:rPr>
                <w:rFonts w:hint="default" w:ascii="Times New Roman" w:hAnsi="Times New Roman" w:eastAsia="仿宋_GB2312" w:cs="Times New Roman"/>
                <w:b w:val="0"/>
                <w:bCs w:val="0"/>
                <w:color w:val="auto"/>
                <w:spacing w:val="-6"/>
                <w:kern w:val="16"/>
                <w:sz w:val="24"/>
                <w:highlight w:val="none"/>
                <w:lang w:val="en-US" w:eastAsia="zh-CN"/>
              </w:rPr>
              <w:t>，需开展生态影响评价专章。</w:t>
            </w:r>
            <w:r>
              <w:rPr>
                <w:rFonts w:hint="eastAsia" w:eastAsia="仿宋_GB2312" w:cs="Times New Roman"/>
                <w:b w:val="0"/>
                <w:bCs w:val="0"/>
                <w:color w:val="auto"/>
                <w:spacing w:val="-6"/>
                <w:kern w:val="16"/>
                <w:sz w:val="24"/>
                <w:highlight w:val="none"/>
                <w:lang w:val="en-US" w:eastAsia="zh-CN"/>
              </w:rPr>
              <w:t>本项目与宁夏回族自治区水土流失重点防治区划分图位置关系图见附图0。</w:t>
            </w:r>
          </w:p>
        </w:tc>
      </w:tr>
    </w:tbl>
    <w:p>
      <w:pPr>
        <w:rPr>
          <w:color w:val="auto"/>
        </w:rPr>
      </w:pPr>
    </w:p>
    <w:tbl>
      <w:tblPr>
        <w:tblStyle w:val="35"/>
        <w:tblW w:w="929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79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0" w:hRule="atLeast"/>
          <w:jc w:val="center"/>
        </w:trPr>
        <w:tc>
          <w:tcPr>
            <w:tcW w:w="1358" w:type="dxa"/>
            <w:tcBorders>
              <w:tl2br w:val="nil"/>
              <w:tr2bl w:val="nil"/>
            </w:tcBorders>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仿宋_GB2312" w:cs="Times New Roman"/>
                <w:b/>
                <w:bCs/>
                <w:color w:val="auto"/>
                <w:spacing w:val="-6"/>
                <w:kern w:val="16"/>
                <w:sz w:val="24"/>
                <w:highlight w:val="none"/>
                <w:lang w:val="en-US" w:eastAsia="zh-CN"/>
              </w:rPr>
            </w:pPr>
            <w:r>
              <w:rPr>
                <w:rFonts w:hint="default" w:ascii="Times New Roman" w:hAnsi="Times New Roman" w:eastAsia="仿宋_GB2312" w:cs="Times New Roman"/>
                <w:b/>
                <w:bCs/>
                <w:color w:val="auto"/>
                <w:spacing w:val="-6"/>
                <w:kern w:val="16"/>
                <w:sz w:val="24"/>
                <w:highlight w:val="none"/>
                <w:lang w:val="en-US" w:eastAsia="zh-CN"/>
              </w:rPr>
              <w:t>规划情况</w:t>
            </w:r>
          </w:p>
        </w:tc>
        <w:tc>
          <w:tcPr>
            <w:tcW w:w="7941" w:type="dxa"/>
            <w:tcBorders>
              <w:tl2br w:val="nil"/>
              <w:tr2bl w:val="nil"/>
            </w:tcBorders>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36" w:lineRule="auto"/>
              <w:ind w:left="0" w:right="0" w:firstLine="0"/>
              <w:jc w:val="center"/>
              <w:textAlignment w:val="auto"/>
              <w:rPr>
                <w:rFonts w:hint="default" w:ascii="Times New Roman" w:hAnsi="Times New Roman" w:eastAsia="仿宋_GB2312" w:cs="Times New Roman"/>
                <w:b/>
                <w:bCs/>
                <w:color w:val="auto"/>
                <w:spacing w:val="-6"/>
                <w:kern w:val="16"/>
                <w:sz w:val="24"/>
                <w:highlight w:val="none"/>
                <w:lang w:val="en-US" w:eastAsia="zh-CN"/>
              </w:rPr>
            </w:pPr>
            <w:r>
              <w:rPr>
                <w:rFonts w:hint="eastAsia" w:eastAsia="仿宋_GB2312" w:cs="Times New Roman"/>
                <w:b/>
                <w:bCs/>
                <w:color w:val="auto"/>
                <w:spacing w:val="-6"/>
                <w:kern w:val="16"/>
                <w:sz w:val="24"/>
                <w:highlight w:val="none"/>
                <w:lang w:val="en-US" w:eastAsia="zh-CN"/>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3" w:hRule="atLeast"/>
          <w:jc w:val="center"/>
        </w:trPr>
        <w:tc>
          <w:tcPr>
            <w:tcW w:w="1358" w:type="dxa"/>
            <w:tcBorders>
              <w:tl2br w:val="nil"/>
              <w:tr2bl w:val="nil"/>
            </w:tcBorders>
            <w:vAlign w:val="center"/>
          </w:tcPr>
          <w:p>
            <w:pPr>
              <w:autoSpaceDE w:val="0"/>
              <w:autoSpaceDN w:val="0"/>
              <w:adjustRightInd w:val="0"/>
              <w:snapToGrid w:val="0"/>
              <w:jc w:val="center"/>
              <w:rPr>
                <w:rFonts w:hint="default" w:ascii="Times New Roman" w:hAnsi="Times New Roman" w:eastAsia="仿宋_GB2312" w:cs="Times New Roman"/>
                <w:b/>
                <w:bCs/>
                <w:color w:val="auto"/>
                <w:kern w:val="0"/>
                <w:sz w:val="24"/>
                <w:highlight w:val="none"/>
                <w:lang w:eastAsia="zh-CN"/>
              </w:rPr>
            </w:pPr>
            <w:r>
              <w:rPr>
                <w:rFonts w:hint="default" w:ascii="Times New Roman" w:hAnsi="Times New Roman" w:eastAsia="仿宋_GB2312" w:cs="Times New Roman"/>
                <w:b/>
                <w:bCs/>
                <w:color w:val="auto"/>
                <w:kern w:val="0"/>
                <w:sz w:val="24"/>
                <w:highlight w:val="none"/>
                <w:lang w:eastAsia="zh-CN"/>
              </w:rPr>
              <w:t>规划环境影响评价情况</w:t>
            </w:r>
          </w:p>
        </w:tc>
        <w:tc>
          <w:tcPr>
            <w:tcW w:w="794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36" w:lineRule="auto"/>
              <w:ind w:left="0" w:right="0" w:firstLine="0" w:firstLineChars="0"/>
              <w:jc w:val="center"/>
              <w:textAlignment w:val="auto"/>
              <w:rPr>
                <w:rFonts w:hint="default" w:cs="Times New Roman"/>
                <w:b w:val="0"/>
                <w:bCs w:val="0"/>
                <w:color w:val="auto"/>
                <w:kern w:val="16"/>
                <w:sz w:val="24"/>
                <w:szCs w:val="24"/>
                <w:highlight w:val="none"/>
                <w:lang w:val="en-US" w:eastAsia="zh-CN" w:bidi="ar-SA"/>
              </w:rPr>
            </w:pPr>
            <w:r>
              <w:rPr>
                <w:rFonts w:hint="eastAsia" w:eastAsia="仿宋_GB2312" w:cs="Times New Roman"/>
                <w:b/>
                <w:bCs/>
                <w:color w:val="auto"/>
                <w:spacing w:val="-6"/>
                <w:kern w:val="16"/>
                <w:sz w:val="24"/>
                <w:szCs w:val="24"/>
                <w:highlight w:val="none"/>
                <w:lang w:val="en-US" w:eastAsia="zh-CN" w:bidi="ar-SA"/>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1" w:hRule="atLeast"/>
          <w:jc w:val="center"/>
        </w:trPr>
        <w:tc>
          <w:tcPr>
            <w:tcW w:w="1358" w:type="dxa"/>
            <w:tcBorders>
              <w:tl2br w:val="nil"/>
              <w:tr2bl w:val="nil"/>
            </w:tcBorders>
            <w:vAlign w:val="center"/>
          </w:tcPr>
          <w:p>
            <w:pPr>
              <w:pStyle w:val="13"/>
              <w:jc w:val="center"/>
              <w:rPr>
                <w:rFonts w:hint="default"/>
                <w:color w:val="auto"/>
                <w:highlight w:val="none"/>
                <w:lang w:eastAsia="zh-CN"/>
              </w:rPr>
            </w:pPr>
          </w:p>
          <w:p>
            <w:pPr>
              <w:autoSpaceDE w:val="0"/>
              <w:autoSpaceDN w:val="0"/>
              <w:adjustRightInd w:val="0"/>
              <w:snapToGrid w:val="0"/>
              <w:jc w:val="center"/>
              <w:rPr>
                <w:rFonts w:hint="default" w:ascii="Times New Roman" w:hAnsi="Times New Roman" w:eastAsia="仿宋_GB2312" w:cs="Times New Roman"/>
                <w:b/>
                <w:bCs/>
                <w:color w:val="auto"/>
                <w:kern w:val="0"/>
                <w:sz w:val="24"/>
                <w:highlight w:val="none"/>
                <w:lang w:eastAsia="zh-CN"/>
              </w:rPr>
            </w:pPr>
            <w:r>
              <w:rPr>
                <w:rFonts w:hint="default" w:ascii="Times New Roman" w:hAnsi="Times New Roman" w:eastAsia="仿宋_GB2312" w:cs="Times New Roman"/>
                <w:b/>
                <w:bCs/>
                <w:color w:val="auto"/>
                <w:kern w:val="0"/>
                <w:sz w:val="24"/>
                <w:highlight w:val="none"/>
                <w:lang w:eastAsia="zh-CN"/>
              </w:rPr>
              <w:t>规划及规划环境影响评价符合性分析</w:t>
            </w:r>
          </w:p>
        </w:tc>
        <w:tc>
          <w:tcPr>
            <w:tcW w:w="794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36" w:lineRule="auto"/>
              <w:ind w:left="0" w:right="0" w:firstLine="0" w:firstLineChars="0"/>
              <w:jc w:val="center"/>
              <w:textAlignment w:val="auto"/>
              <w:rPr>
                <w:rFonts w:hint="default" w:ascii="Times New Roman" w:hAnsi="Times New Roman" w:eastAsia="宋体" w:cs="Times New Roman"/>
                <w:b/>
                <w:bCs/>
                <w:color w:val="auto"/>
                <w:kern w:val="0"/>
                <w:sz w:val="24"/>
                <w:szCs w:val="28"/>
                <w:highlight w:val="none"/>
                <w:lang w:val="en-US" w:eastAsia="zh-CN" w:bidi="ar-SA"/>
              </w:rPr>
            </w:pPr>
            <w:r>
              <w:rPr>
                <w:rFonts w:hint="eastAsia" w:ascii="Times New Roman" w:hAnsi="Times New Roman" w:eastAsia="仿宋_GB2312" w:cs="Times New Roman"/>
                <w:b/>
                <w:bCs/>
                <w:color w:val="auto"/>
                <w:spacing w:val="-6"/>
                <w:kern w:val="16"/>
                <w:sz w:val="24"/>
                <w:szCs w:val="24"/>
                <w:highlight w:val="none"/>
                <w:lang w:val="en-US" w:eastAsia="zh-CN" w:bidi="ar-SA"/>
              </w:rPr>
              <w:t>无</w:t>
            </w:r>
          </w:p>
        </w:tc>
      </w:tr>
    </w:tbl>
    <w:p>
      <w:pPr>
        <w:rPr>
          <w:color w:val="auto"/>
        </w:rPr>
      </w:pPr>
    </w:p>
    <w:tbl>
      <w:tblPr>
        <w:tblStyle w:val="35"/>
        <w:tblW w:w="911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70"/>
        <w:gridCol w:w="85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02" w:hRule="atLeast"/>
          <w:jc w:val="center"/>
        </w:trPr>
        <w:tc>
          <w:tcPr>
            <w:tcW w:w="5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r>
              <w:rPr>
                <w:rFonts w:hint="default" w:ascii="Times New Roman" w:hAnsi="Times New Roman" w:eastAsia="仿宋_GB2312" w:cs="Times New Roman"/>
                <w:b/>
                <w:bCs/>
                <w:color w:val="auto"/>
                <w:kern w:val="0"/>
                <w:sz w:val="24"/>
                <w:highlight w:val="none"/>
              </w:rPr>
              <w:t>其他符合性分析</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pStyle w:val="42"/>
              <w:rPr>
                <w:rFonts w:hint="default" w:ascii="Times New Roman" w:hAnsi="Times New Roman" w:eastAsia="仿宋_GB2312" w:cs="Times New Roman"/>
                <w:color w:val="auto"/>
                <w:highlight w:val="none"/>
              </w:rPr>
            </w:pPr>
          </w:p>
          <w:p>
            <w:pPr>
              <w:rPr>
                <w:rFonts w:hint="default" w:ascii="Times New Roman" w:hAnsi="Times New Roman" w:eastAsia="仿宋_GB2312" w:cs="Times New Roman"/>
                <w:color w:val="auto"/>
                <w:highlight w:val="none"/>
              </w:rPr>
            </w:pPr>
          </w:p>
          <w:p>
            <w:pPr>
              <w:pStyle w:val="42"/>
              <w:rPr>
                <w:rFonts w:hint="default" w:ascii="Times New Roman" w:hAnsi="Times New Roman" w:eastAsia="仿宋_GB2312" w:cs="Times New Roman"/>
                <w:color w:val="auto"/>
                <w:highlight w:val="none"/>
              </w:rPr>
            </w:pPr>
          </w:p>
          <w:p>
            <w:pPr>
              <w:rPr>
                <w:rFonts w:hint="default" w:ascii="Times New Roman" w:hAnsi="Times New Roman" w:eastAsia="仿宋_GB2312" w:cs="Times New Roman"/>
                <w:color w:val="auto"/>
                <w:highlight w:val="none"/>
              </w:rPr>
            </w:pPr>
          </w:p>
          <w:p>
            <w:pPr>
              <w:pStyle w:val="42"/>
              <w:rPr>
                <w:rFonts w:hint="default" w:ascii="Times New Roman" w:hAnsi="Times New Roman" w:eastAsia="仿宋_GB2312" w:cs="Times New Roman"/>
                <w:color w:val="auto"/>
                <w:highlight w:val="none"/>
              </w:rPr>
            </w:pPr>
          </w:p>
          <w:p>
            <w:pPr>
              <w:rPr>
                <w:rFonts w:hint="default" w:ascii="Times New Roman" w:hAnsi="Times New Roman" w:eastAsia="仿宋_GB2312" w:cs="Times New Roman"/>
                <w:color w:val="auto"/>
                <w:highlight w:val="none"/>
              </w:rPr>
            </w:pPr>
          </w:p>
          <w:p>
            <w:pPr>
              <w:pStyle w:val="42"/>
              <w:rPr>
                <w:rFonts w:hint="default" w:ascii="Times New Roman" w:hAnsi="Times New Roman" w:eastAsia="仿宋_GB2312" w:cs="Times New Roman"/>
                <w:color w:val="auto"/>
                <w:highlight w:val="none"/>
              </w:rPr>
            </w:pPr>
          </w:p>
          <w:p>
            <w:pPr>
              <w:rPr>
                <w:rFonts w:hint="default" w:ascii="Times New Roman" w:hAnsi="Times New Roman" w:eastAsia="仿宋_GB2312" w:cs="Times New Roman"/>
                <w:color w:val="auto"/>
                <w:highlight w:val="none"/>
              </w:rPr>
            </w:pPr>
          </w:p>
          <w:p>
            <w:pPr>
              <w:pStyle w:val="42"/>
              <w:rPr>
                <w:rFonts w:hint="default"/>
                <w:color w:val="auto"/>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r>
              <w:rPr>
                <w:rFonts w:hint="default" w:ascii="Times New Roman" w:hAnsi="Times New Roman" w:eastAsia="仿宋_GB2312" w:cs="Times New Roman"/>
                <w:b/>
                <w:bCs/>
                <w:color w:val="auto"/>
                <w:kern w:val="0"/>
                <w:sz w:val="24"/>
                <w:highlight w:val="none"/>
              </w:rPr>
              <w:t>其他符合性分析</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pStyle w:val="42"/>
              <w:rPr>
                <w:rFonts w:hint="eastAsia" w:eastAsia="仿宋_GB2312" w:cs="Times New Roman"/>
                <w:b/>
                <w:bCs/>
                <w:color w:val="auto"/>
                <w:kern w:val="0"/>
                <w:sz w:val="24"/>
                <w:highlight w:val="none"/>
                <w:lang w:eastAsia="zh-CN"/>
              </w:rPr>
            </w:pPr>
          </w:p>
          <w:p>
            <w:pPr>
              <w:rPr>
                <w:rFonts w:hint="eastAsia"/>
                <w:color w:val="auto"/>
                <w:highlight w:val="none"/>
                <w:lang w:eastAsia="zh-CN"/>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pStyle w:val="42"/>
              <w:rPr>
                <w:rFonts w:hint="default" w:ascii="Times New Roman" w:hAnsi="Times New Roman" w:eastAsia="仿宋_GB2312" w:cs="Times New Roman"/>
                <w:b/>
                <w:bCs/>
                <w:color w:val="auto"/>
                <w:kern w:val="0"/>
                <w:sz w:val="24"/>
                <w:highlight w:val="none"/>
              </w:rPr>
            </w:pPr>
          </w:p>
          <w:p>
            <w:pPr>
              <w:rPr>
                <w:rFonts w:hint="default"/>
                <w:color w:val="auto"/>
                <w:highlight w:val="none"/>
              </w:rPr>
            </w:pPr>
          </w:p>
          <w:p>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r>
              <w:rPr>
                <w:rFonts w:hint="default" w:ascii="Times New Roman" w:hAnsi="Times New Roman" w:eastAsia="仿宋_GB2312" w:cs="Times New Roman"/>
                <w:b/>
                <w:bCs/>
                <w:color w:val="auto"/>
                <w:kern w:val="0"/>
                <w:sz w:val="24"/>
                <w:highlight w:val="none"/>
              </w:rPr>
              <w:t>其他符合性分析</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pStyle w:val="13"/>
              <w:jc w:val="center"/>
              <w:rPr>
                <w:rFonts w:hint="default" w:ascii="Times New Roman" w:hAnsi="Times New Roman" w:eastAsia="仿宋_GB2312" w:cs="Times New Roman"/>
                <w:b/>
                <w:bCs/>
                <w:color w:val="auto"/>
                <w:kern w:val="0"/>
                <w:sz w:val="24"/>
                <w:highlight w:val="none"/>
              </w:rPr>
            </w:pPr>
          </w:p>
          <w:p>
            <w:pPr>
              <w:jc w:val="center"/>
              <w:rPr>
                <w:rFonts w:hint="default"/>
                <w:color w:val="auto"/>
                <w:highlight w:val="none"/>
              </w:r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color w:val="auto"/>
                <w:kern w:val="0"/>
                <w:sz w:val="24"/>
                <w:highlight w:val="none"/>
              </w:rPr>
            </w:pPr>
          </w:p>
          <w:p>
            <w:pPr>
              <w:pStyle w:val="13"/>
              <w:jc w:val="center"/>
              <w:rPr>
                <w:rFonts w:hint="default" w:ascii="Times New Roman" w:hAnsi="Times New Roman" w:eastAsia="仿宋_GB2312" w:cs="Times New Roman"/>
                <w:b/>
                <w:bCs/>
                <w:color w:val="auto"/>
                <w:kern w:val="0"/>
                <w:sz w:val="24"/>
                <w:highlight w:val="none"/>
              </w:rPr>
            </w:pPr>
          </w:p>
          <w:p>
            <w:pPr>
              <w:jc w:val="center"/>
              <w:rPr>
                <w:rFonts w:hint="default" w:ascii="Times New Roman" w:hAnsi="Times New Roman" w:eastAsia="仿宋_GB2312" w:cs="Times New Roman"/>
                <w:b/>
                <w:bCs/>
                <w:color w:val="auto"/>
                <w:kern w:val="0"/>
                <w:sz w:val="24"/>
                <w:highlight w:val="none"/>
              </w:rPr>
            </w:pPr>
          </w:p>
          <w:p>
            <w:pPr>
              <w:pStyle w:val="13"/>
              <w:jc w:val="center"/>
              <w:rPr>
                <w:rFonts w:hint="default" w:ascii="Times New Roman" w:hAnsi="Times New Roman" w:eastAsia="仿宋_GB2312" w:cs="Times New Roman"/>
                <w:b/>
                <w:bCs/>
                <w:color w:val="auto"/>
                <w:kern w:val="0"/>
                <w:sz w:val="24"/>
                <w:highlight w:val="none"/>
              </w:rPr>
            </w:pPr>
          </w:p>
          <w:p>
            <w:pPr>
              <w:jc w:val="center"/>
              <w:rPr>
                <w:rFonts w:hint="default" w:ascii="Times New Roman" w:hAnsi="Times New Roman" w:eastAsia="仿宋_GB2312" w:cs="Times New Roman"/>
                <w:b/>
                <w:bCs/>
                <w:color w:val="auto"/>
                <w:kern w:val="0"/>
                <w:sz w:val="24"/>
                <w:highlight w:val="none"/>
              </w:rPr>
            </w:pPr>
          </w:p>
          <w:p>
            <w:pPr>
              <w:pStyle w:val="13"/>
              <w:rPr>
                <w:rFonts w:hint="default" w:ascii="Times New Roman" w:hAnsi="Times New Roman" w:eastAsia="仿宋_GB2312" w:cs="Times New Roman"/>
                <w:b/>
                <w:bCs/>
                <w:color w:val="auto"/>
                <w:kern w:val="0"/>
                <w:sz w:val="24"/>
                <w:highlight w:val="none"/>
              </w:rPr>
            </w:pPr>
          </w:p>
          <w:p>
            <w:pPr>
              <w:rPr>
                <w:rFonts w:hint="default"/>
                <w:color w:val="auto"/>
                <w:highlight w:val="none"/>
              </w:rPr>
            </w:pPr>
          </w:p>
          <w:p>
            <w:pPr>
              <w:pStyle w:val="42"/>
              <w:rPr>
                <w:rFonts w:hint="default"/>
                <w:color w:val="auto"/>
                <w:highlight w:val="none"/>
              </w:rPr>
            </w:pPr>
          </w:p>
          <w:p>
            <w:pPr>
              <w:rPr>
                <w:rFonts w:hint="default"/>
                <w:color w:val="auto"/>
                <w:highlight w:val="none"/>
              </w:rPr>
            </w:pPr>
          </w:p>
          <w:p>
            <w:pPr>
              <w:pStyle w:val="42"/>
              <w:rPr>
                <w:rFonts w:hint="default"/>
                <w:color w:val="auto"/>
                <w:highlight w:val="none"/>
              </w:rPr>
            </w:pPr>
          </w:p>
          <w:p>
            <w:pPr>
              <w:rPr>
                <w:rFonts w:hint="default"/>
                <w:color w:val="auto"/>
                <w:highlight w:val="none"/>
              </w:rPr>
            </w:pPr>
          </w:p>
          <w:p>
            <w:pPr>
              <w:pStyle w:val="42"/>
              <w:rPr>
                <w:rFonts w:hint="default"/>
                <w:color w:val="auto"/>
                <w:highlight w:val="none"/>
              </w:rPr>
            </w:pPr>
          </w:p>
          <w:p>
            <w:pPr>
              <w:rPr>
                <w:rFonts w:hint="default"/>
                <w:color w:val="auto"/>
                <w:highlight w:val="none"/>
              </w:rPr>
            </w:pPr>
          </w:p>
          <w:p>
            <w:pPr>
              <w:pStyle w:val="42"/>
              <w:rPr>
                <w:rFonts w:hint="default"/>
                <w:color w:val="auto"/>
                <w:highlight w:val="none"/>
              </w:rPr>
            </w:pPr>
          </w:p>
          <w:p>
            <w:pPr>
              <w:rPr>
                <w:rFonts w:hint="default"/>
                <w:color w:val="auto"/>
                <w:highlight w:val="none"/>
              </w:rPr>
            </w:pPr>
          </w:p>
          <w:p>
            <w:pPr>
              <w:pStyle w:val="42"/>
              <w:rPr>
                <w:rFonts w:hint="default"/>
                <w:color w:val="auto"/>
                <w:highlight w:val="none"/>
              </w:rPr>
            </w:pPr>
          </w:p>
          <w:p>
            <w:pPr>
              <w:rPr>
                <w:rFonts w:hint="default"/>
                <w:color w:val="auto"/>
                <w:highlight w:val="none"/>
              </w:rPr>
            </w:pPr>
          </w:p>
          <w:p>
            <w:pPr>
              <w:pStyle w:val="42"/>
              <w:rPr>
                <w:rFonts w:hint="default"/>
                <w:color w:val="auto"/>
                <w:highlight w:val="none"/>
              </w:rPr>
            </w:pPr>
          </w:p>
          <w:p>
            <w:pPr>
              <w:rPr>
                <w:rFonts w:hint="default"/>
                <w:color w:val="auto"/>
                <w:highlight w:val="none"/>
              </w:rPr>
            </w:pPr>
          </w:p>
          <w:p>
            <w:pPr>
              <w:pStyle w:val="42"/>
              <w:rPr>
                <w:rFonts w:hint="default"/>
                <w:color w:val="auto"/>
                <w:highlight w:val="none"/>
              </w:rPr>
            </w:pPr>
          </w:p>
          <w:p>
            <w:pPr>
              <w:rPr>
                <w:rFonts w:hint="default"/>
                <w:color w:val="auto"/>
                <w:highlight w:val="none"/>
              </w:rPr>
            </w:pPr>
          </w:p>
          <w:p>
            <w:pPr>
              <w:pStyle w:val="42"/>
              <w:rPr>
                <w:rFonts w:hint="default"/>
                <w:color w:val="auto"/>
                <w:highlight w:val="none"/>
              </w:rPr>
            </w:pPr>
          </w:p>
          <w:p>
            <w:pPr>
              <w:rPr>
                <w:rFonts w:hint="default"/>
                <w:color w:val="auto"/>
                <w:highlight w:val="none"/>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highlight w:val="none"/>
                <w:lang w:eastAsia="zh-CN"/>
              </w:rPr>
            </w:pPr>
          </w:p>
          <w:p>
            <w:pPr>
              <w:rPr>
                <w:rFonts w:hint="eastAsia"/>
                <w:color w:val="auto"/>
                <w:highlight w:val="none"/>
                <w:lang w:eastAsia="zh-CN"/>
              </w:rPr>
            </w:pPr>
          </w:p>
          <w:p>
            <w:pPr>
              <w:pStyle w:val="42"/>
              <w:rPr>
                <w:rFonts w:hint="eastAsia"/>
                <w:color w:val="auto"/>
                <w:lang w:eastAsia="zh-CN"/>
              </w:rPr>
            </w:pPr>
          </w:p>
        </w:tc>
        <w:tc>
          <w:tcPr>
            <w:tcW w:w="8540"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仿宋_GB2312" w:cs="Times New Roman"/>
                <w:b/>
                <w:bCs/>
                <w:color w:val="auto"/>
                <w:sz w:val="24"/>
                <w:szCs w:val="24"/>
                <w:highlight w:val="none"/>
              </w:rPr>
            </w:pPr>
            <w:r>
              <w:rPr>
                <w:rFonts w:hint="default" w:ascii="Times New Roman" w:hAnsi="Times New Roman" w:eastAsia="仿宋_GB2312" w:cs="Times New Roman"/>
                <w:b/>
                <w:bCs/>
                <w:color w:val="auto"/>
                <w:sz w:val="24"/>
                <w:szCs w:val="24"/>
                <w:highlight w:val="none"/>
              </w:rPr>
              <w:t>1</w:t>
            </w:r>
            <w:r>
              <w:rPr>
                <w:rFonts w:hint="default" w:ascii="Times New Roman" w:hAnsi="Times New Roman" w:eastAsia="仿宋_GB2312" w:cs="Times New Roman"/>
                <w:b/>
                <w:bCs/>
                <w:color w:val="auto"/>
                <w:sz w:val="24"/>
                <w:szCs w:val="24"/>
                <w:highlight w:val="none"/>
                <w:lang w:eastAsia="zh-CN"/>
              </w:rPr>
              <w:t>、</w:t>
            </w:r>
            <w:r>
              <w:rPr>
                <w:rFonts w:hint="default" w:ascii="Times New Roman" w:hAnsi="Times New Roman" w:eastAsia="仿宋_GB2312" w:cs="Times New Roman"/>
                <w:b/>
                <w:bCs/>
                <w:color w:val="auto"/>
                <w:sz w:val="24"/>
                <w:szCs w:val="24"/>
                <w:highlight w:val="none"/>
              </w:rPr>
              <w:t>产业政策符合性分析</w:t>
            </w:r>
          </w:p>
          <w:p>
            <w:pPr>
              <w:pStyle w:val="90"/>
              <w:keepNext w:val="0"/>
              <w:keepLines w:val="0"/>
              <w:pageBreakBefore w:val="0"/>
              <w:kinsoku/>
              <w:wordWrap/>
              <w:overflowPunct/>
              <w:topLinePunct w:val="0"/>
              <w:autoSpaceDE/>
              <w:autoSpaceDN/>
              <w:bidi w:val="0"/>
              <w:spacing w:line="360" w:lineRule="auto"/>
              <w:ind w:left="0" w:firstLine="480" w:firstLineChars="200"/>
              <w:jc w:val="both"/>
              <w:textAlignment w:val="auto"/>
              <w:rPr>
                <w:rFonts w:hint="default" w:ascii="宋体" w:hAnsi="宋体" w:eastAsia="宋体" w:cs="宋体"/>
                <w:color w:val="auto"/>
                <w:kern w:val="0"/>
                <w:sz w:val="24"/>
                <w:szCs w:val="28"/>
                <w:highlight w:val="none"/>
                <w:lang w:val="en-US" w:eastAsia="zh-CN" w:bidi="ar-SA"/>
              </w:rPr>
            </w:pPr>
            <w:r>
              <w:rPr>
                <w:rFonts w:hint="default" w:ascii="Times New Roman" w:hAnsi="Times New Roman" w:eastAsia="仿宋_GB2312" w:cs="Times New Roman"/>
                <w:color w:val="auto"/>
                <w:kern w:val="0"/>
                <w:sz w:val="24"/>
                <w:szCs w:val="28"/>
                <w:highlight w:val="none"/>
                <w:lang w:val="en-US" w:eastAsia="zh-CN" w:bidi="ar-SA"/>
              </w:rPr>
              <w:t>本</w:t>
            </w:r>
            <w:r>
              <w:rPr>
                <w:rFonts w:hint="eastAsia" w:ascii="Times New Roman" w:hAnsi="Times New Roman" w:eastAsia="仿宋_GB2312" w:cs="Times New Roman"/>
                <w:color w:val="auto"/>
                <w:kern w:val="0"/>
                <w:sz w:val="24"/>
                <w:szCs w:val="28"/>
                <w:highlight w:val="none"/>
                <w:lang w:val="en-US" w:eastAsia="zh-CN" w:bidi="ar-SA"/>
              </w:rPr>
              <w:t>项目为</w:t>
            </w:r>
            <w:r>
              <w:rPr>
                <w:rFonts w:hint="eastAsia" w:eastAsia="仿宋_GB2312" w:cs="Times New Roman"/>
                <w:color w:val="auto"/>
                <w:sz w:val="24"/>
                <w:highlight w:val="none"/>
                <w:lang w:val="en-US" w:eastAsia="zh-CN"/>
              </w:rPr>
              <w:t>农产品基地建设项目</w:t>
            </w:r>
            <w:r>
              <w:rPr>
                <w:rFonts w:hint="eastAsia" w:ascii="Times New Roman" w:hAnsi="Times New Roman" w:eastAsia="仿宋_GB2312" w:cs="Times New Roman"/>
                <w:color w:val="auto"/>
                <w:kern w:val="0"/>
                <w:sz w:val="24"/>
                <w:szCs w:val="28"/>
                <w:highlight w:val="none"/>
                <w:lang w:val="en-US" w:eastAsia="zh-CN" w:bidi="ar-SA"/>
              </w:rPr>
              <w:t>，</w:t>
            </w:r>
            <w:r>
              <w:rPr>
                <w:rFonts w:hint="default" w:ascii="Times New Roman" w:hAnsi="Times New Roman" w:eastAsia="仿宋_GB2312" w:cs="Times New Roman"/>
                <w:color w:val="auto"/>
                <w:kern w:val="0"/>
                <w:sz w:val="24"/>
                <w:szCs w:val="28"/>
                <w:highlight w:val="none"/>
                <w:lang w:val="en-US" w:eastAsia="zh-CN" w:bidi="ar-SA"/>
              </w:rPr>
              <w:t>根据《产业结构调整指导目录（</w:t>
            </w:r>
            <w:r>
              <w:rPr>
                <w:rFonts w:hint="eastAsia" w:ascii="Times New Roman" w:hAnsi="Times New Roman" w:eastAsia="仿宋_GB2312" w:cs="Times New Roman"/>
                <w:color w:val="auto"/>
                <w:kern w:val="0"/>
                <w:sz w:val="24"/>
                <w:szCs w:val="28"/>
                <w:highlight w:val="none"/>
                <w:lang w:val="en-US" w:eastAsia="zh-CN" w:bidi="ar-SA"/>
              </w:rPr>
              <w:t>2024</w:t>
            </w:r>
            <w:r>
              <w:rPr>
                <w:rFonts w:hint="default" w:ascii="Times New Roman" w:hAnsi="Times New Roman" w:eastAsia="仿宋_GB2312" w:cs="Times New Roman"/>
                <w:color w:val="auto"/>
                <w:kern w:val="0"/>
                <w:sz w:val="24"/>
                <w:szCs w:val="28"/>
                <w:highlight w:val="none"/>
                <w:lang w:val="en-US" w:eastAsia="zh-CN" w:bidi="ar-SA"/>
              </w:rPr>
              <w:t>年本）》，</w:t>
            </w:r>
            <w:r>
              <w:rPr>
                <w:rFonts w:hint="eastAsia" w:ascii="Times New Roman" w:hAnsi="Times New Roman" w:eastAsia="仿宋_GB2312" w:cs="Times New Roman"/>
                <w:color w:val="auto"/>
                <w:kern w:val="0"/>
                <w:sz w:val="24"/>
                <w:szCs w:val="28"/>
                <w:highlight w:val="none"/>
                <w:lang w:val="en-US" w:eastAsia="zh-CN" w:bidi="ar-SA"/>
              </w:rPr>
              <w:t>本项目第一类“鼓励类”中的“一、生态农业”</w:t>
            </w:r>
            <w:r>
              <w:rPr>
                <w:rFonts w:hint="default" w:ascii="Times New Roman" w:hAnsi="Times New Roman" w:eastAsia="仿宋_GB2312" w:cs="Times New Roman"/>
                <w:color w:val="auto"/>
                <w:kern w:val="0"/>
                <w:sz w:val="24"/>
                <w:szCs w:val="28"/>
                <w:highlight w:val="none"/>
                <w:lang w:val="en-US" w:eastAsia="zh-CN" w:bidi="ar-SA"/>
              </w:rPr>
              <w:t>，属于</w:t>
            </w:r>
            <w:r>
              <w:rPr>
                <w:rFonts w:hint="eastAsia" w:ascii="Times New Roman" w:hAnsi="Times New Roman" w:eastAsia="仿宋_GB2312" w:cs="Times New Roman"/>
                <w:color w:val="auto"/>
                <w:kern w:val="0"/>
                <w:sz w:val="24"/>
                <w:szCs w:val="28"/>
                <w:highlight w:val="none"/>
                <w:lang w:val="en-US" w:eastAsia="zh-CN" w:bidi="ar-SA"/>
              </w:rPr>
              <w:t>鼓励</w:t>
            </w:r>
            <w:r>
              <w:rPr>
                <w:rFonts w:hint="default" w:ascii="Times New Roman" w:hAnsi="Times New Roman" w:eastAsia="仿宋_GB2312" w:cs="Times New Roman"/>
                <w:color w:val="auto"/>
                <w:kern w:val="0"/>
                <w:sz w:val="24"/>
                <w:szCs w:val="28"/>
                <w:highlight w:val="none"/>
                <w:lang w:val="en-US" w:eastAsia="zh-CN" w:bidi="ar-SA"/>
              </w:rPr>
              <w:t>类</w:t>
            </w:r>
            <w:r>
              <w:rPr>
                <w:rFonts w:hint="eastAsia" w:ascii="Times New Roman" w:hAnsi="Times New Roman" w:eastAsia="仿宋_GB2312" w:cs="Times New Roman"/>
                <w:color w:val="auto"/>
                <w:kern w:val="0"/>
                <w:sz w:val="24"/>
                <w:szCs w:val="28"/>
                <w:highlight w:val="none"/>
                <w:lang w:val="en-US" w:eastAsia="zh-CN" w:bidi="ar-SA"/>
              </w:rPr>
              <w:t>项目</w:t>
            </w:r>
            <w:r>
              <w:rPr>
                <w:rFonts w:hint="default" w:ascii="Times New Roman" w:hAnsi="Times New Roman" w:eastAsia="仿宋_GB2312" w:cs="Times New Roman"/>
                <w:color w:val="auto"/>
                <w:kern w:val="0"/>
                <w:sz w:val="24"/>
                <w:szCs w:val="28"/>
                <w:highlight w:val="none"/>
                <w:lang w:val="en-US" w:eastAsia="zh-CN" w:bidi="ar-SA"/>
              </w:rPr>
              <w:t>。符合国家产业政策要求。</w:t>
            </w:r>
          </w:p>
          <w:p>
            <w:pPr>
              <w:pStyle w:val="80"/>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textAlignment w:val="baseline"/>
              <w:rPr>
                <w:rFonts w:hint="default" w:ascii="Times New Roman" w:hAnsi="Times New Roman" w:eastAsia="仿宋_GB2312" w:cs="Times New Roman"/>
                <w:color w:val="auto"/>
                <w:highlight w:val="none"/>
              </w:rPr>
            </w:pPr>
            <w:r>
              <w:rPr>
                <w:rFonts w:hint="eastAsia" w:eastAsia="仿宋_GB2312" w:cs="Times New Roman"/>
                <w:color w:val="auto"/>
                <w:highlight w:val="none"/>
                <w:lang w:val="en-US" w:eastAsia="zh-CN"/>
              </w:rPr>
              <w:t>2、</w:t>
            </w:r>
            <w:r>
              <w:rPr>
                <w:rFonts w:hint="default" w:ascii="Times New Roman" w:hAnsi="Times New Roman" w:eastAsia="仿宋_GB2312" w:cs="Times New Roman"/>
                <w:color w:val="auto"/>
                <w:highlight w:val="none"/>
                <w:lang w:val="en-US" w:eastAsia="zh-CN"/>
              </w:rPr>
              <w:t>项目</w:t>
            </w:r>
            <w:r>
              <w:rPr>
                <w:rFonts w:hint="eastAsia" w:eastAsia="仿宋_GB2312" w:cs="Times New Roman"/>
                <w:color w:val="auto"/>
                <w:highlight w:val="none"/>
                <w:lang w:val="en-US" w:eastAsia="zh-CN"/>
              </w:rPr>
              <w:t>与固原市</w:t>
            </w:r>
            <w:r>
              <w:rPr>
                <w:rFonts w:hint="default" w:ascii="Times New Roman" w:hAnsi="Times New Roman" w:eastAsia="仿宋_GB2312" w:cs="Times New Roman"/>
                <w:color w:val="auto"/>
                <w:highlight w:val="none"/>
                <w:lang w:val="en-US" w:eastAsia="zh-CN"/>
              </w:rPr>
              <w:t>生态环境分区管控符合性分析</w:t>
            </w:r>
          </w:p>
          <w:p>
            <w:pPr>
              <w:pStyle w:val="76"/>
              <w:keepNext w:val="0"/>
              <w:keepLines w:val="0"/>
              <w:pageBreakBefore w:val="0"/>
              <w:widowControl w:val="0"/>
              <w:kinsoku/>
              <w:wordWrap/>
              <w:overflowPunct w:val="0"/>
              <w:topLinePunct w:val="0"/>
              <w:autoSpaceDE/>
              <w:autoSpaceDN/>
              <w:bidi w:val="0"/>
              <w:adjustRightInd w:val="0"/>
              <w:snapToGrid w:val="0"/>
              <w:spacing w:line="360" w:lineRule="auto"/>
              <w:ind w:left="0" w:leftChars="0" w:firstLine="481" w:firstLineChars="200"/>
              <w:textAlignment w:val="auto"/>
              <w:rPr>
                <w:rFonts w:hint="default" w:ascii="Times New Roman" w:hAnsi="Times New Roman" w:eastAsia="仿宋_GB2312" w:cs="Times New Roman"/>
                <w:b/>
                <w:bCs/>
                <w:color w:val="auto"/>
                <w:kern w:val="2"/>
                <w:sz w:val="24"/>
                <w:szCs w:val="24"/>
                <w:highlight w:val="none"/>
                <w:lang w:val="en-US" w:eastAsia="zh-CN" w:bidi="ar-SA"/>
              </w:rPr>
            </w:pPr>
            <w:r>
              <w:rPr>
                <w:rFonts w:hint="default" w:ascii="Times New Roman" w:hAnsi="Times New Roman" w:eastAsia="仿宋_GB2312" w:cs="Times New Roman"/>
                <w:b/>
                <w:bCs/>
                <w:color w:val="auto"/>
                <w:kern w:val="2"/>
                <w:sz w:val="24"/>
                <w:szCs w:val="24"/>
                <w:highlight w:val="none"/>
                <w:lang w:val="en-US" w:eastAsia="zh-CN" w:bidi="ar-SA"/>
              </w:rPr>
              <w:t>⑴生态保护红线及生态分区管控</w:t>
            </w:r>
          </w:p>
          <w:p>
            <w:pPr>
              <w:autoSpaceDE w:val="0"/>
              <w:autoSpaceDN w:val="0"/>
              <w:adjustRightInd w:val="0"/>
              <w:snapToGrid w:val="0"/>
              <w:spacing w:before="0" w:after="0" w:line="360" w:lineRule="auto"/>
              <w:ind w:left="0" w:right="0" w:firstLine="480" w:firstLineChars="200"/>
              <w:rPr>
                <w:rFonts w:hint="default" w:ascii="Times New Roman" w:hAnsi="Times New Roman" w:eastAsia="仿宋_GB2312" w:cs="Times New Roman"/>
                <w:b w:val="0"/>
                <w:bCs/>
                <w:color w:val="auto"/>
                <w:spacing w:val="0"/>
                <w:kern w:val="0"/>
                <w:sz w:val="24"/>
                <w:szCs w:val="24"/>
                <w:lang w:val="en-US" w:eastAsia="zh-CN" w:bidi="ar-SA"/>
              </w:rPr>
            </w:pPr>
            <w:r>
              <w:rPr>
                <w:rFonts w:hint="default" w:ascii="Times New Roman" w:hAnsi="Times New Roman" w:eastAsia="仿宋_GB2312" w:cs="Times New Roman"/>
                <w:b w:val="0"/>
                <w:bCs/>
                <w:color w:val="auto"/>
                <w:spacing w:val="0"/>
                <w:kern w:val="0"/>
                <w:sz w:val="24"/>
                <w:szCs w:val="24"/>
                <w:highlight w:val="none"/>
                <w:lang w:val="en-US" w:eastAsia="zh-CN" w:bidi="ar-SA"/>
              </w:rPr>
              <w:t>本项目</w:t>
            </w:r>
            <w:r>
              <w:rPr>
                <w:rFonts w:hint="eastAsia" w:ascii="Times New Roman" w:hAnsi="Times New Roman" w:eastAsia="仿宋_GB2312" w:cs="Times New Roman"/>
                <w:b w:val="0"/>
                <w:bCs/>
                <w:color w:val="auto"/>
                <w:spacing w:val="0"/>
                <w:kern w:val="0"/>
                <w:sz w:val="24"/>
                <w:szCs w:val="24"/>
                <w:highlight w:val="none"/>
                <w:lang w:val="en-US" w:eastAsia="zh-CN" w:bidi="ar-SA"/>
              </w:rPr>
              <w:t>位</w:t>
            </w:r>
            <w:r>
              <w:rPr>
                <w:rFonts w:hint="default" w:ascii="Times New Roman" w:hAnsi="Times New Roman" w:eastAsia="仿宋_GB2312" w:cs="Times New Roman"/>
                <w:b w:val="0"/>
                <w:bCs/>
                <w:color w:val="auto"/>
                <w:spacing w:val="0"/>
                <w:kern w:val="0"/>
                <w:sz w:val="24"/>
                <w:szCs w:val="24"/>
                <w:highlight w:val="none"/>
                <w:lang w:val="en-US" w:eastAsia="zh-CN" w:bidi="ar-SA"/>
              </w:rPr>
              <w:t>于</w:t>
            </w:r>
            <w:r>
              <w:rPr>
                <w:rFonts w:hint="eastAsia" w:eastAsia="仿宋_GB2312" w:cs="Times New Roman"/>
                <w:color w:val="auto"/>
                <w:sz w:val="24"/>
                <w:highlight w:val="none"/>
                <w:lang w:val="en-US" w:eastAsia="zh-CN"/>
              </w:rPr>
              <w:t>固原市泾源县黄花乡沙塘村和羊槽村、新民乡马河滩村、大湾乡牛营村、香水镇卡子村米岗村、兴盛乡兴盛村、泾河源镇白面村</w:t>
            </w:r>
            <w:r>
              <w:rPr>
                <w:rFonts w:hint="default" w:ascii="Times New Roman" w:hAnsi="Times New Roman" w:eastAsia="仿宋_GB2312" w:cs="Times New Roman"/>
                <w:b w:val="0"/>
                <w:bCs/>
                <w:color w:val="auto"/>
                <w:spacing w:val="0"/>
                <w:kern w:val="0"/>
                <w:sz w:val="24"/>
                <w:szCs w:val="24"/>
                <w:highlight w:val="none"/>
                <w:lang w:val="en-US" w:eastAsia="zh-CN" w:bidi="ar-SA"/>
              </w:rPr>
              <w:t>。</w:t>
            </w:r>
            <w:r>
              <w:rPr>
                <w:rFonts w:hint="default" w:ascii="Times New Roman" w:hAnsi="Times New Roman" w:eastAsia="仿宋_GB2312" w:cs="Times New Roman"/>
                <w:b w:val="0"/>
                <w:bCs/>
                <w:color w:val="auto"/>
                <w:spacing w:val="0"/>
                <w:kern w:val="0"/>
                <w:sz w:val="24"/>
                <w:szCs w:val="24"/>
                <w:lang w:val="en-US" w:eastAsia="zh-CN" w:bidi="ar-SA"/>
              </w:rPr>
              <w:t>根据《固原市生态环境分区管控实施方案》（固政发[2024]28号）中附件，本项目与“固原市生态环境分区管控方案文本”符合性分析见表</w:t>
            </w:r>
            <w:r>
              <w:rPr>
                <w:rFonts w:hint="eastAsia" w:eastAsia="仿宋_GB2312" w:cs="Times New Roman"/>
                <w:b w:val="0"/>
                <w:bCs/>
                <w:color w:val="auto"/>
                <w:spacing w:val="0"/>
                <w:kern w:val="0"/>
                <w:sz w:val="24"/>
                <w:szCs w:val="24"/>
                <w:lang w:val="en-US" w:eastAsia="zh-CN" w:bidi="ar-SA"/>
              </w:rPr>
              <w:t>1</w:t>
            </w:r>
            <w:r>
              <w:rPr>
                <w:rFonts w:hint="default" w:ascii="Times New Roman" w:hAnsi="Times New Roman" w:eastAsia="仿宋_GB2312" w:cs="Times New Roman"/>
                <w:b w:val="0"/>
                <w:bCs/>
                <w:color w:val="auto"/>
                <w:spacing w:val="0"/>
                <w:kern w:val="0"/>
                <w:sz w:val="24"/>
                <w:szCs w:val="24"/>
                <w:lang w:val="en-US" w:eastAsia="zh-CN" w:bidi="ar-SA"/>
              </w:rPr>
              <w:t>。</w:t>
            </w:r>
          </w:p>
          <w:p>
            <w:pPr>
              <w:adjustRightInd w:val="0"/>
              <w:ind w:firstLine="480"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表</w:t>
            </w:r>
            <w:r>
              <w:rPr>
                <w:rFonts w:hint="eastAsia" w:ascii="Times New Roman" w:hAnsi="Times New Roman" w:cs="Times New Roman"/>
                <w:b w:val="0"/>
                <w:bCs w:val="0"/>
                <w:color w:val="auto"/>
                <w:sz w:val="24"/>
                <w:szCs w:val="24"/>
                <w:highlight w:val="none"/>
                <w:lang w:val="en-US" w:eastAsia="zh-CN"/>
              </w:rPr>
              <w:t>1</w:t>
            </w:r>
            <w:r>
              <w:rPr>
                <w:rFonts w:hint="eastAsia" w:ascii="Times New Roman" w:hAnsi="Times New Roman" w:eastAsia="宋体" w:cs="Times New Roman"/>
                <w:b w:val="0"/>
                <w:bCs w:val="0"/>
                <w:color w:val="auto"/>
                <w:sz w:val="24"/>
                <w:szCs w:val="24"/>
                <w:highlight w:val="none"/>
                <w:lang w:val="en-US" w:eastAsia="zh-CN"/>
              </w:rPr>
              <w:t xml:space="preserve"> </w:t>
            </w:r>
            <w:r>
              <w:rPr>
                <w:rFonts w:hint="eastAsia"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lang w:val="en-US" w:eastAsia="zh-CN"/>
              </w:rPr>
              <w:t xml:space="preserve"> 项目与固原市</w:t>
            </w:r>
            <w:r>
              <w:rPr>
                <w:rFonts w:hint="eastAsia" w:ascii="Times New Roman" w:hAnsi="Times New Roman" w:eastAsia="宋体" w:cs="Times New Roman"/>
                <w:b/>
                <w:bCs/>
                <w:color w:val="auto"/>
                <w:sz w:val="24"/>
                <w:szCs w:val="24"/>
                <w:highlight w:val="none"/>
                <w:lang w:val="en-US" w:eastAsia="zh-CN"/>
              </w:rPr>
              <w:t>生态环境分区管控</w:t>
            </w:r>
            <w:r>
              <w:rPr>
                <w:rFonts w:hint="default" w:ascii="Times New Roman" w:hAnsi="Times New Roman" w:eastAsia="宋体" w:cs="Times New Roman"/>
                <w:b/>
                <w:bCs/>
                <w:color w:val="auto"/>
                <w:sz w:val="24"/>
                <w:szCs w:val="24"/>
                <w:highlight w:val="none"/>
                <w:lang w:val="en-US" w:eastAsia="zh-CN"/>
              </w:rPr>
              <w:t>文本符合性一览表</w:t>
            </w:r>
          </w:p>
          <w:tbl>
            <w:tblPr>
              <w:tblStyle w:val="35"/>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2"/>
              <w:gridCol w:w="439"/>
              <w:gridCol w:w="3678"/>
              <w:gridCol w:w="2721"/>
              <w:gridCol w:w="7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23" w:type="pct"/>
                  <w:gridSpan w:val="3"/>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“固原市生态环境分区管控方案文本”要求</w:t>
                  </w:r>
                </w:p>
              </w:tc>
              <w:tc>
                <w:tcPr>
                  <w:tcW w:w="1640"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本项目情况</w:t>
                  </w:r>
                </w:p>
              </w:tc>
              <w:tc>
                <w:tcPr>
                  <w:tcW w:w="435"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5"/>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lang w:eastAsia="zh-CN"/>
                    </w:rPr>
                  </w:pPr>
                  <w:r>
                    <w:rPr>
                      <w:rFonts w:hint="default" w:ascii="Times New Roman" w:hAnsi="Times New Roman" w:cs="Times New Roman"/>
                      <w:b/>
                      <w:bCs/>
                      <w:color w:val="auto"/>
                      <w:kern w:val="0"/>
                      <w:sz w:val="21"/>
                      <w:szCs w:val="21"/>
                    </w:rPr>
                    <w:t>生态保护红线与生态</w:t>
                  </w:r>
                  <w:r>
                    <w:rPr>
                      <w:rFonts w:hint="default" w:ascii="Times New Roman" w:hAnsi="Times New Roman" w:cs="Times New Roman"/>
                      <w:b/>
                      <w:bCs/>
                      <w:color w:val="auto"/>
                      <w:kern w:val="0"/>
                      <w:sz w:val="21"/>
                      <w:szCs w:val="21"/>
                      <w:lang w:eastAsia="zh-CN"/>
                    </w:rPr>
                    <w:t>分区管控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23" w:type="pct"/>
                  <w:gridSpan w:val="3"/>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b/>
                      <w:bCs/>
                      <w:color w:val="auto"/>
                      <w:kern w:val="0"/>
                      <w:sz w:val="21"/>
                      <w:szCs w:val="21"/>
                      <w:lang w:eastAsia="zh-CN"/>
                    </w:rPr>
                    <w:t>生态分区管控要求</w:t>
                  </w:r>
                  <w:r>
                    <w:rPr>
                      <w:rFonts w:hint="default" w:ascii="Times New Roman" w:hAnsi="Times New Roman" w:cs="Times New Roman"/>
                      <w:b w:val="0"/>
                      <w:bCs w:val="0"/>
                      <w:color w:val="auto"/>
                      <w:kern w:val="0"/>
                      <w:sz w:val="21"/>
                      <w:szCs w:val="21"/>
                      <w:lang w:eastAsia="zh-CN"/>
                    </w:rPr>
                    <w:t>：生态保护红线原则上按禁止开发区域的要求进行管理。严禁不符合主体功能定位的各类开发活动，严禁任意改变用途，确保生态保护红线内“生态功能不降低，面积不减少，性质不改变”。一般生态空间原则上按照限制开发区域的要求进行管理。严格控制新增建设用地占用一般生态空间。符合区域准入条件的建设项目，涉及占用生态空间中的林地、草原等，按有关法律法规规定办理；涉及占用生态空间中其他未作明确规定的用地，应当加强论证和管理。严格限制农业开发占用生态保护红线之外的生态空间，符合条件的农业开发项目，须依法由市县级及以上地方人民政府统筹安排。有序引导生态空间用途之间的相互转变，鼓励向有利于生态功能提升的方向转变，严格禁止不符合生态保护要求或有损生态功能的相互转换。</w:t>
                  </w:r>
                </w:p>
              </w:tc>
              <w:tc>
                <w:tcPr>
                  <w:tcW w:w="1640"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rPr>
                    <w:t>对照</w:t>
                  </w:r>
                  <w:r>
                    <w:rPr>
                      <w:rFonts w:hint="default" w:ascii="Times New Roman" w:hAnsi="Times New Roman" w:cs="Times New Roman"/>
                      <w:color w:val="auto"/>
                      <w:kern w:val="0"/>
                      <w:sz w:val="21"/>
                      <w:szCs w:val="21"/>
                      <w:lang w:eastAsia="zh-CN"/>
                    </w:rPr>
                    <w:t>固原市</w:t>
                  </w:r>
                  <w:r>
                    <w:rPr>
                      <w:rFonts w:hint="eastAsia" w:cs="Times New Roman"/>
                      <w:color w:val="auto"/>
                      <w:kern w:val="0"/>
                      <w:sz w:val="21"/>
                      <w:szCs w:val="21"/>
                      <w:lang w:val="en-US" w:eastAsia="zh-CN"/>
                    </w:rPr>
                    <w:t>生态环境分区管控</w:t>
                  </w:r>
                  <w:r>
                    <w:rPr>
                      <w:rFonts w:hint="default" w:ascii="Times New Roman" w:hAnsi="Times New Roman" w:cs="Times New Roman"/>
                      <w:color w:val="auto"/>
                      <w:kern w:val="0"/>
                      <w:sz w:val="21"/>
                      <w:szCs w:val="21"/>
                    </w:rPr>
                    <w:t>图集</w:t>
                  </w:r>
                  <w:r>
                    <w:rPr>
                      <w:rFonts w:hint="default" w:ascii="Times New Roman" w:hAnsi="Times New Roman" w:cs="Times New Roman"/>
                      <w:color w:val="auto"/>
                      <w:kern w:val="0"/>
                      <w:sz w:val="21"/>
                      <w:szCs w:val="21"/>
                      <w:lang w:val="en-US" w:eastAsia="zh-CN"/>
                    </w:rPr>
                    <w:t>中生态保护红线图可知</w:t>
                  </w:r>
                  <w:r>
                    <w:rPr>
                      <w:rFonts w:hint="default" w:ascii="Times New Roman" w:hAnsi="Times New Roman" w:cs="Times New Roman"/>
                      <w:color w:val="auto"/>
                      <w:kern w:val="0"/>
                      <w:sz w:val="21"/>
                      <w:szCs w:val="21"/>
                    </w:rPr>
                    <w:t>，</w:t>
                  </w:r>
                  <w:r>
                    <w:rPr>
                      <w:rFonts w:hint="eastAsia" w:cs="Times New Roman"/>
                      <w:color w:val="auto"/>
                      <w:kern w:val="0"/>
                      <w:sz w:val="21"/>
                      <w:szCs w:val="21"/>
                      <w:lang w:val="en-US" w:eastAsia="zh-CN"/>
                    </w:rPr>
                    <w:t>项目所在区域不涉及生态保护红线。</w:t>
                  </w:r>
                </w:p>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项目与</w:t>
                  </w:r>
                  <w:r>
                    <w:rPr>
                      <w:rFonts w:hint="default" w:ascii="Times New Roman" w:hAnsi="Times New Roman" w:cs="Times New Roman"/>
                      <w:color w:val="auto"/>
                      <w:kern w:val="0"/>
                      <w:sz w:val="21"/>
                      <w:szCs w:val="21"/>
                      <w:lang w:eastAsia="zh-CN"/>
                    </w:rPr>
                    <w:t>固原市</w:t>
                  </w:r>
                  <w:r>
                    <w:rPr>
                      <w:rFonts w:hint="default" w:ascii="Times New Roman" w:hAnsi="Times New Roman" w:cs="Times New Roman"/>
                      <w:color w:val="auto"/>
                      <w:kern w:val="0"/>
                      <w:sz w:val="21"/>
                      <w:szCs w:val="21"/>
                    </w:rPr>
                    <w:t>生态</w:t>
                  </w:r>
                  <w:r>
                    <w:rPr>
                      <w:rFonts w:hint="default" w:ascii="Times New Roman" w:hAnsi="Times New Roman" w:cs="Times New Roman"/>
                      <w:color w:val="auto"/>
                      <w:kern w:val="0"/>
                      <w:sz w:val="21"/>
                      <w:szCs w:val="21"/>
                      <w:lang w:eastAsia="zh-CN"/>
                    </w:rPr>
                    <w:t>保护</w:t>
                  </w:r>
                  <w:r>
                    <w:rPr>
                      <w:rFonts w:hint="default" w:ascii="Times New Roman" w:hAnsi="Times New Roman" w:cs="Times New Roman"/>
                      <w:color w:val="auto"/>
                      <w:kern w:val="0"/>
                      <w:sz w:val="21"/>
                      <w:szCs w:val="21"/>
                    </w:rPr>
                    <w:t>红线</w:t>
                  </w:r>
                  <w:r>
                    <w:rPr>
                      <w:rFonts w:hint="default" w:ascii="Times New Roman" w:hAnsi="Times New Roman" w:cs="Times New Roman"/>
                      <w:color w:val="auto"/>
                      <w:kern w:val="0"/>
                      <w:sz w:val="21"/>
                      <w:szCs w:val="21"/>
                      <w:lang w:eastAsia="zh-CN"/>
                    </w:rPr>
                    <w:t>图</w:t>
                  </w:r>
                  <w:r>
                    <w:rPr>
                      <w:rFonts w:hint="default" w:ascii="Times New Roman" w:hAnsi="Times New Roman" w:cs="Times New Roman"/>
                      <w:color w:val="auto"/>
                      <w:kern w:val="0"/>
                      <w:sz w:val="21"/>
                      <w:szCs w:val="21"/>
                    </w:rPr>
                    <w:t>位置关系见附图</w:t>
                  </w:r>
                  <w:r>
                    <w:rPr>
                      <w:rFonts w:hint="eastAsia" w:cs="Times New Roman"/>
                      <w:color w:val="auto"/>
                      <w:kern w:val="0"/>
                      <w:sz w:val="21"/>
                      <w:szCs w:val="21"/>
                      <w:lang w:val="en-US" w:eastAsia="zh-CN"/>
                    </w:rPr>
                    <w:t>1</w:t>
                  </w:r>
                  <w:r>
                    <w:rPr>
                      <w:rFonts w:hint="default" w:ascii="Times New Roman" w:hAnsi="Times New Roman" w:cs="Times New Roman"/>
                      <w:color w:val="auto"/>
                      <w:kern w:val="0"/>
                      <w:sz w:val="21"/>
                      <w:szCs w:val="21"/>
                    </w:rPr>
                    <w:t>。</w:t>
                  </w:r>
                </w:p>
              </w:tc>
              <w:tc>
                <w:tcPr>
                  <w:tcW w:w="435"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5"/>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环境质量底线及分区管控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restar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水环境分区管控</w:t>
                  </w:r>
                </w:p>
              </w:tc>
              <w:tc>
                <w:tcPr>
                  <w:tcW w:w="2482" w:type="pct"/>
                  <w:gridSpan w:val="2"/>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lang w:val="en-US" w:eastAsia="zh-CN" w:bidi="ar-SA"/>
                    </w:rPr>
                  </w:pPr>
                  <w:r>
                    <w:rPr>
                      <w:rFonts w:hint="default" w:ascii="Times New Roman" w:hAnsi="Times New Roman" w:cs="Times New Roman"/>
                      <w:color w:val="auto"/>
                      <w:kern w:val="0"/>
                      <w:sz w:val="21"/>
                      <w:szCs w:val="21"/>
                      <w:lang w:val="en-US" w:eastAsia="zh-CN" w:bidi="ar-SA"/>
                    </w:rPr>
                    <w:t>以水环境控制单元为基本单元，分析各控制单元的功能定位，结合水质超标区域分布，基于水环境系统评价结果，得到固原市水环境管控分区。固原市水环境管控分区共分为三大类：水环境优先保护区、水环境重点管控区(含水环境工业污染源重点管控区、水环境农业污染源重点管控区、水环境城镇生活污染源重点管控区)和水环境一般管控区。</w:t>
                  </w:r>
                </w:p>
              </w:tc>
              <w:tc>
                <w:tcPr>
                  <w:tcW w:w="1640"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对照固原市</w:t>
                  </w:r>
                  <w:r>
                    <w:rPr>
                      <w:rFonts w:hint="eastAsia" w:cs="Times New Roman"/>
                      <w:color w:val="auto"/>
                      <w:kern w:val="0"/>
                      <w:sz w:val="21"/>
                      <w:szCs w:val="21"/>
                      <w:lang w:val="en-US" w:eastAsia="zh-CN"/>
                    </w:rPr>
                    <w:t>生态环境分区管控</w:t>
                  </w:r>
                  <w:r>
                    <w:rPr>
                      <w:rFonts w:hint="default" w:ascii="Times New Roman" w:hAnsi="Times New Roman" w:cs="Times New Roman"/>
                      <w:color w:val="auto"/>
                      <w:kern w:val="0"/>
                      <w:sz w:val="21"/>
                      <w:szCs w:val="21"/>
                      <w:lang w:val="en-US" w:eastAsia="zh-CN"/>
                    </w:rPr>
                    <w:t>图集中水环境分区管控图可知，大湾乡养菌棚改造及木耳配套设施建设工程处于</w:t>
                  </w:r>
                  <w:r>
                    <w:rPr>
                      <w:rFonts w:hint="eastAsia" w:cs="Times New Roman"/>
                      <w:color w:val="auto"/>
                      <w:kern w:val="0"/>
                      <w:sz w:val="21"/>
                      <w:szCs w:val="21"/>
                      <w:lang w:val="en-US" w:eastAsia="zh-CN"/>
                    </w:rPr>
                    <w:t>水环境优先</w:t>
                  </w:r>
                  <w:r>
                    <w:rPr>
                      <w:rFonts w:hint="default" w:ascii="Times New Roman" w:hAnsi="Times New Roman" w:cs="Times New Roman"/>
                      <w:color w:val="auto"/>
                      <w:kern w:val="0"/>
                      <w:sz w:val="21"/>
                      <w:szCs w:val="21"/>
                      <w:lang w:val="en-US" w:eastAsia="zh-CN"/>
                    </w:rPr>
                    <w:t>管控区。黄花乡沙塘村菌菇产业园区扩容提升建设工程</w:t>
                  </w:r>
                  <w:r>
                    <w:rPr>
                      <w:rFonts w:hint="eastAsia" w:cs="Times New Roman"/>
                      <w:color w:val="auto"/>
                      <w:kern w:val="0"/>
                      <w:sz w:val="21"/>
                      <w:szCs w:val="21"/>
                      <w:lang w:val="en-US" w:eastAsia="zh-CN"/>
                    </w:rPr>
                    <w:t>、黄花乡羊槽村菌菇产业园建设工程、新民乡马河滩村菌菇大棚建设工程、香水镇卡子村菌菇产业提质扩量建设工程、香水镇米岗村新建菌菇棚建设工程、）兴盛乡兴盛村特色农业设施大棚建设工程、泾河源镇白面村新建菌菇大棚建设工程、泾河源镇白面村菌菇产业园区建设工程处于水环境一般管控区。</w:t>
                  </w:r>
                  <w:r>
                    <w:rPr>
                      <w:rFonts w:hint="default" w:ascii="Times New Roman" w:hAnsi="Times New Roman" w:cs="Times New Roman"/>
                      <w:color w:val="auto"/>
                      <w:kern w:val="0"/>
                      <w:sz w:val="21"/>
                      <w:szCs w:val="21"/>
                    </w:rPr>
                    <w:t>项目与</w:t>
                  </w:r>
                  <w:r>
                    <w:rPr>
                      <w:rFonts w:hint="default" w:ascii="Times New Roman" w:hAnsi="Times New Roman" w:cs="Times New Roman"/>
                      <w:color w:val="auto"/>
                      <w:kern w:val="0"/>
                      <w:sz w:val="21"/>
                      <w:szCs w:val="21"/>
                      <w:lang w:eastAsia="zh-CN"/>
                    </w:rPr>
                    <w:t>固原市</w:t>
                  </w:r>
                  <w:r>
                    <w:rPr>
                      <w:rFonts w:hint="default" w:ascii="Times New Roman" w:hAnsi="Times New Roman" w:cs="Times New Roman"/>
                      <w:color w:val="auto"/>
                      <w:kern w:val="0"/>
                      <w:sz w:val="21"/>
                      <w:szCs w:val="21"/>
                    </w:rPr>
                    <w:t>水环境管控</w:t>
                  </w:r>
                  <w:r>
                    <w:rPr>
                      <w:rFonts w:hint="default" w:ascii="Times New Roman" w:hAnsi="Times New Roman" w:cs="Times New Roman"/>
                      <w:color w:val="auto"/>
                      <w:kern w:val="0"/>
                      <w:sz w:val="21"/>
                      <w:szCs w:val="21"/>
                      <w:lang w:eastAsia="zh-CN"/>
                    </w:rPr>
                    <w:t>分区</w:t>
                  </w:r>
                  <w:r>
                    <w:rPr>
                      <w:rFonts w:hint="default" w:ascii="Times New Roman" w:hAnsi="Times New Roman" w:cs="Times New Roman"/>
                      <w:color w:val="auto"/>
                      <w:kern w:val="0"/>
                      <w:sz w:val="21"/>
                      <w:szCs w:val="21"/>
                    </w:rPr>
                    <w:t>位置关系见附图</w:t>
                  </w:r>
                  <w:r>
                    <w:rPr>
                      <w:rFonts w:hint="default" w:ascii="Times New Roman" w:hAnsi="Times New Roman" w:cs="Times New Roman"/>
                      <w:color w:val="auto"/>
                      <w:kern w:val="0"/>
                      <w:sz w:val="21"/>
                      <w:szCs w:val="21"/>
                      <w:lang w:val="en-US" w:eastAsia="zh-CN"/>
                    </w:rPr>
                    <w:t>2</w:t>
                  </w:r>
                  <w:r>
                    <w:rPr>
                      <w:rFonts w:hint="default" w:ascii="Times New Roman" w:hAnsi="Times New Roman" w:cs="Times New Roman"/>
                      <w:color w:val="auto"/>
                      <w:kern w:val="0"/>
                      <w:sz w:val="21"/>
                      <w:szCs w:val="21"/>
                    </w:rPr>
                    <w:t>。</w:t>
                  </w:r>
                </w:p>
              </w:tc>
              <w:tc>
                <w:tcPr>
                  <w:tcW w:w="435" w:type="pct"/>
                  <w:vMerge w:val="restar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continue"/>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lang w:eastAsia="zh-CN"/>
                    </w:rPr>
                  </w:pPr>
                </w:p>
              </w:tc>
              <w:tc>
                <w:tcPr>
                  <w:tcW w:w="2482" w:type="pct"/>
                  <w:gridSpan w:val="2"/>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lang w:val="en-US" w:eastAsia="zh-CN" w:bidi="ar-SA"/>
                    </w:rPr>
                  </w:pPr>
                  <w:r>
                    <w:rPr>
                      <w:rFonts w:hint="eastAsia" w:cs="Times New Roman"/>
                      <w:b/>
                      <w:bCs/>
                      <w:color w:val="auto"/>
                      <w:kern w:val="0"/>
                      <w:sz w:val="21"/>
                      <w:szCs w:val="21"/>
                      <w:lang w:val="en-US" w:eastAsia="zh-CN"/>
                    </w:rPr>
                    <w:t>水环境优先</w:t>
                  </w:r>
                  <w:r>
                    <w:rPr>
                      <w:rFonts w:hint="default" w:ascii="Times New Roman" w:hAnsi="Times New Roman" w:cs="Times New Roman"/>
                      <w:b/>
                      <w:bCs/>
                      <w:color w:val="auto"/>
                      <w:kern w:val="0"/>
                      <w:sz w:val="21"/>
                      <w:szCs w:val="21"/>
                      <w:lang w:eastAsia="zh-CN"/>
                    </w:rPr>
                    <w:t>管控</w:t>
                  </w:r>
                  <w:r>
                    <w:rPr>
                      <w:rFonts w:hint="eastAsia" w:cs="Times New Roman"/>
                      <w:b/>
                      <w:bCs/>
                      <w:color w:val="auto"/>
                      <w:kern w:val="0"/>
                      <w:sz w:val="21"/>
                      <w:szCs w:val="21"/>
                      <w:lang w:eastAsia="zh-CN"/>
                    </w:rPr>
                    <w:t>区</w:t>
                  </w:r>
                  <w:r>
                    <w:rPr>
                      <w:rFonts w:hint="default" w:ascii="Times New Roman" w:hAnsi="Times New Roman" w:cs="Times New Roman"/>
                      <w:b/>
                      <w:bCs/>
                      <w:color w:val="auto"/>
                      <w:kern w:val="0"/>
                      <w:sz w:val="21"/>
                      <w:szCs w:val="21"/>
                    </w:rPr>
                    <w:t>要求：</w:t>
                  </w:r>
                  <w:r>
                    <w:rPr>
                      <w:rFonts w:hint="default" w:ascii="Times New Roman" w:hAnsi="Times New Roman" w:cs="Times New Roman"/>
                      <w:b w:val="0"/>
                      <w:bCs w:val="0"/>
                      <w:color w:val="auto"/>
                      <w:kern w:val="0"/>
                      <w:sz w:val="21"/>
                      <w:szCs w:val="21"/>
                    </w:rPr>
                    <w:t>严格落实《中华人民共和国水污染防治法》、《饮用水水源保护区污染防治管理规定》(原环境保护部令第16号)及其他有关法律法规对饮用水水源保护区的管理要求。在饮用水水源保护区内，禁止设置排污口。禁止在饮用水水源一级保护区内新建改建、扩建与供水设施和保护水源无关的建设项目</w:t>
                  </w:r>
                  <w:r>
                    <w:rPr>
                      <w:rFonts w:hint="eastAsia" w:cs="Times New Roman"/>
                      <w:b w:val="0"/>
                      <w:bCs w:val="0"/>
                      <w:color w:val="auto"/>
                      <w:kern w:val="0"/>
                      <w:sz w:val="21"/>
                      <w:szCs w:val="21"/>
                      <w:lang w:eastAsia="zh-CN"/>
                    </w:rPr>
                    <w:t>；</w:t>
                  </w:r>
                  <w:r>
                    <w:rPr>
                      <w:rFonts w:hint="default" w:ascii="Times New Roman" w:hAnsi="Times New Roman" w:cs="Times New Roman"/>
                      <w:b w:val="0"/>
                      <w:bCs w:val="0"/>
                      <w:color w:val="auto"/>
                      <w:kern w:val="0"/>
                      <w:sz w:val="21"/>
                      <w:szCs w:val="21"/>
                    </w:rPr>
                    <w:t>已建成的与供水设施和保护水源无关的建设项目，由县级以上人民政府责令拆除或者关闭。禁止在饮用水水源二级保护区内新建、改建、扩建排放污染物的建设项目</w:t>
                  </w:r>
                  <w:r>
                    <w:rPr>
                      <w:rFonts w:hint="eastAsia" w:cs="Times New Roman"/>
                      <w:b w:val="0"/>
                      <w:bCs w:val="0"/>
                      <w:color w:val="auto"/>
                      <w:kern w:val="0"/>
                      <w:sz w:val="21"/>
                      <w:szCs w:val="21"/>
                      <w:lang w:eastAsia="zh-CN"/>
                    </w:rPr>
                    <w:t>；</w:t>
                  </w:r>
                  <w:r>
                    <w:rPr>
                      <w:rFonts w:hint="default" w:ascii="Times New Roman" w:hAnsi="Times New Roman" w:cs="Times New Roman"/>
                      <w:b w:val="0"/>
                      <w:bCs w:val="0"/>
                      <w:color w:val="auto"/>
                      <w:kern w:val="0"/>
                      <w:sz w:val="21"/>
                      <w:szCs w:val="21"/>
                    </w:rPr>
                    <w:t>已建成的排放污染物的建设项目，由县级以上人民政府责令拆除或者关闭。禁止在饮用水水源准保护区内新建、扩建对水体污染严重的建设项目:改建建设项目，不得增加排污量。严格落实《中华人民共和国自然保护区条例》、《湿地保护管理规定》(原国家林业局令2013年第32号)、《水产种质资源保护区管理暂行办法》(原农业部令2011年第1号)等有关法律法规对自然保护区、湿地公园及其他重要湿地、水产种质资源保护区等区域的管理要求。确保重要湿地和河湖面积不减少、生态功能不退化，保护和提升清水河国家级湿地公园等重要湿地，增强城市“绿肺功能”加大六盘山水源涵养林建设力度，开展六盘山及其外缘宜林地水源涵养林建设，进一步恢复和增强六盘山区域水源涵养功能</w:t>
                  </w:r>
                  <w:r>
                    <w:rPr>
                      <w:rFonts w:hint="eastAsia" w:cs="Times New Roman"/>
                      <w:b w:val="0"/>
                      <w:bCs w:val="0"/>
                      <w:color w:val="auto"/>
                      <w:kern w:val="0"/>
                      <w:sz w:val="21"/>
                      <w:szCs w:val="21"/>
                      <w:lang w:eastAsia="zh-CN"/>
                    </w:rPr>
                    <w:t>；加大</w:t>
                  </w:r>
                  <w:r>
                    <w:rPr>
                      <w:rFonts w:hint="default" w:ascii="Times New Roman" w:hAnsi="Times New Roman" w:cs="Times New Roman"/>
                      <w:b w:val="0"/>
                      <w:bCs w:val="0"/>
                      <w:color w:val="auto"/>
                      <w:kern w:val="0"/>
                      <w:sz w:val="21"/>
                      <w:szCs w:val="21"/>
                    </w:rPr>
                    <w:t>月亮山水源涵养林建设力度，大力营造水源涵养和水土保持林，扩大林草植被面积，加快生态修复，减少水土流失，增强水源涵养和水土保持功能</w:t>
                  </w:r>
                  <w:r>
                    <w:rPr>
                      <w:rFonts w:hint="eastAsia" w:cs="Times New Roman"/>
                      <w:b w:val="0"/>
                      <w:bCs w:val="0"/>
                      <w:color w:val="auto"/>
                      <w:kern w:val="0"/>
                      <w:sz w:val="21"/>
                      <w:szCs w:val="21"/>
                      <w:lang w:eastAsia="zh-CN"/>
                    </w:rPr>
                    <w:t>；</w:t>
                  </w:r>
                  <w:r>
                    <w:rPr>
                      <w:rFonts w:hint="default" w:ascii="Times New Roman" w:hAnsi="Times New Roman" w:cs="Times New Roman"/>
                      <w:b w:val="0"/>
                      <w:bCs w:val="0"/>
                      <w:color w:val="auto"/>
                      <w:kern w:val="0"/>
                      <w:sz w:val="21"/>
                      <w:szCs w:val="21"/>
                    </w:rPr>
                    <w:t>加快云雾山草原植被修复进度，继续实施草地禁牧封育，通过改良、补播等方式改善云雾山退化草地植被生态环境，逐步恢复草地生产力。</w:t>
                  </w:r>
                </w:p>
              </w:tc>
              <w:tc>
                <w:tcPr>
                  <w:tcW w:w="1640"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b/>
                      <w:bCs/>
                      <w:color w:val="auto"/>
                      <w:kern w:val="0"/>
                      <w:sz w:val="21"/>
                      <w:szCs w:val="21"/>
                      <w:lang w:val="en-US" w:eastAsia="zh-CN"/>
                    </w:rPr>
                  </w:pPr>
                  <w:r>
                    <w:rPr>
                      <w:rFonts w:hint="eastAsia" w:cs="Times New Roman"/>
                      <w:color w:val="auto"/>
                      <w:kern w:val="0"/>
                      <w:sz w:val="21"/>
                      <w:szCs w:val="21"/>
                      <w:lang w:val="en-US" w:eastAsia="zh-CN"/>
                    </w:rPr>
                    <w:t>本项目为农产品基地建设项目，不在水源保护区内，</w:t>
                  </w:r>
                  <w:r>
                    <w:rPr>
                      <w:rFonts w:hint="eastAsia" w:cs="Times New Roman"/>
                      <w:color w:val="auto"/>
                      <w:sz w:val="21"/>
                      <w:szCs w:val="21"/>
                      <w:highlight w:val="none"/>
                      <w:lang w:val="en-US" w:eastAsia="zh-CN"/>
                    </w:rPr>
                    <w:t>项目建设期对周边造成少量生态扰动，但总体影响可接受</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kern w:val="0"/>
                      <w:sz w:val="21"/>
                      <w:szCs w:val="21"/>
                      <w:lang w:val="en-US" w:eastAsia="zh-CN"/>
                    </w:rPr>
                    <w:t>项目建成后，运营期废水主要为</w:t>
                  </w:r>
                  <w:r>
                    <w:rPr>
                      <w:rFonts w:hint="eastAsia" w:cs="Times New Roman"/>
                      <w:color w:val="auto"/>
                      <w:spacing w:val="9"/>
                      <w:sz w:val="21"/>
                      <w:szCs w:val="21"/>
                      <w:highlight w:val="none"/>
                      <w:lang w:val="en-US" w:eastAsia="zh-CN"/>
                    </w:rPr>
                    <w:t>运营期废水主要为职工生活污水，</w:t>
                  </w:r>
                  <w:r>
                    <w:rPr>
                      <w:rFonts w:hint="eastAsia" w:cs="Times New Roman"/>
                      <w:snapToGrid w:val="0"/>
                      <w:color w:val="auto"/>
                      <w:kern w:val="0"/>
                      <w:sz w:val="21"/>
                      <w:szCs w:val="21"/>
                      <w:highlight w:val="none"/>
                      <w:vertAlign w:val="baseline"/>
                      <w:lang w:val="en-US" w:eastAsia="zh-CN"/>
                    </w:rPr>
                    <w:t>利用周边居民旱厕，</w:t>
                  </w:r>
                  <w:r>
                    <w:rPr>
                      <w:rFonts w:hint="eastAsia" w:cs="Times New Roman"/>
                      <w:color w:val="auto"/>
                      <w:szCs w:val="21"/>
                      <w:highlight w:val="none"/>
                      <w:lang w:val="en-US" w:eastAsia="zh-CN"/>
                    </w:rPr>
                    <w:t>定期清掏，用于周边农田施肥。</w:t>
                  </w:r>
                  <w:r>
                    <w:rPr>
                      <w:rFonts w:hint="default" w:ascii="Times New Roman" w:hAnsi="Times New Roman" w:eastAsia="宋体" w:cs="Times New Roman"/>
                      <w:color w:val="auto"/>
                      <w:spacing w:val="9"/>
                      <w:sz w:val="21"/>
                      <w:szCs w:val="21"/>
                      <w:highlight w:val="none"/>
                    </w:rPr>
                    <w:t>少量盥洗废水用于泼洒抑尘</w:t>
                  </w:r>
                  <w:r>
                    <w:rPr>
                      <w:rFonts w:hint="eastAsia" w:cs="Times New Roman"/>
                      <w:color w:val="auto"/>
                      <w:spacing w:val="9"/>
                      <w:sz w:val="21"/>
                      <w:szCs w:val="21"/>
                      <w:highlight w:val="none"/>
                      <w:lang w:eastAsia="zh-CN"/>
                    </w:rPr>
                    <w:t>。</w:t>
                  </w:r>
                  <w:r>
                    <w:rPr>
                      <w:rFonts w:hint="eastAsia" w:cs="Times New Roman"/>
                      <w:color w:val="auto"/>
                      <w:spacing w:val="9"/>
                      <w:sz w:val="21"/>
                      <w:szCs w:val="21"/>
                      <w:highlight w:val="none"/>
                      <w:lang w:val="en-US" w:eastAsia="zh-CN"/>
                    </w:rPr>
                    <w:t>空气能热泵排水用于堆料棚洒水抑尘。</w:t>
                  </w:r>
                  <w:r>
                    <w:rPr>
                      <w:rFonts w:hint="eastAsia" w:cs="Times New Roman"/>
                      <w:color w:val="auto"/>
                      <w:kern w:val="0"/>
                      <w:sz w:val="21"/>
                      <w:szCs w:val="21"/>
                      <w:lang w:val="en-US" w:eastAsia="zh-CN"/>
                    </w:rPr>
                    <w:t>不外排。</w:t>
                  </w:r>
                </w:p>
              </w:tc>
              <w:tc>
                <w:tcPr>
                  <w:tcW w:w="435" w:type="pct"/>
                  <w:vMerge w:val="continue"/>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continue"/>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lang w:eastAsia="zh-CN"/>
                    </w:rPr>
                  </w:pPr>
                </w:p>
              </w:tc>
              <w:tc>
                <w:tcPr>
                  <w:tcW w:w="2482" w:type="pct"/>
                  <w:gridSpan w:val="2"/>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color w:val="auto"/>
                      <w:kern w:val="0"/>
                      <w:sz w:val="21"/>
                      <w:szCs w:val="21"/>
                    </w:rPr>
                  </w:pPr>
                  <w:r>
                    <w:rPr>
                      <w:rFonts w:hint="eastAsia" w:cs="Times New Roman"/>
                      <w:b/>
                      <w:bCs/>
                      <w:color w:val="auto"/>
                      <w:kern w:val="0"/>
                      <w:sz w:val="21"/>
                      <w:szCs w:val="21"/>
                      <w:lang w:val="en-US" w:eastAsia="zh-CN"/>
                    </w:rPr>
                    <w:t>水环境一般</w:t>
                  </w:r>
                  <w:r>
                    <w:rPr>
                      <w:rFonts w:hint="default" w:ascii="Times New Roman" w:hAnsi="Times New Roman" w:cs="Times New Roman"/>
                      <w:b/>
                      <w:bCs/>
                      <w:color w:val="auto"/>
                      <w:kern w:val="0"/>
                      <w:sz w:val="21"/>
                      <w:szCs w:val="21"/>
                      <w:lang w:eastAsia="zh-CN"/>
                    </w:rPr>
                    <w:t>管控</w:t>
                  </w:r>
                  <w:r>
                    <w:rPr>
                      <w:rFonts w:hint="eastAsia" w:cs="Times New Roman"/>
                      <w:b/>
                      <w:bCs/>
                      <w:color w:val="auto"/>
                      <w:kern w:val="0"/>
                      <w:sz w:val="21"/>
                      <w:szCs w:val="21"/>
                      <w:lang w:eastAsia="zh-CN"/>
                    </w:rPr>
                    <w:t>区</w:t>
                  </w:r>
                  <w:r>
                    <w:rPr>
                      <w:rFonts w:hint="default" w:ascii="Times New Roman" w:hAnsi="Times New Roman" w:cs="Times New Roman"/>
                      <w:b/>
                      <w:bCs/>
                      <w:color w:val="auto"/>
                      <w:kern w:val="0"/>
                      <w:sz w:val="21"/>
                      <w:szCs w:val="21"/>
                    </w:rPr>
                    <w:t>要求：</w:t>
                  </w:r>
                  <w:r>
                    <w:rPr>
                      <w:rFonts w:hint="default" w:ascii="Times New Roman" w:hAnsi="Times New Roman" w:cs="Times New Roman"/>
                      <w:b w:val="0"/>
                      <w:bCs w:val="0"/>
                      <w:color w:val="auto"/>
                      <w:kern w:val="0"/>
                      <w:sz w:val="21"/>
                      <w:szCs w:val="21"/>
                    </w:rPr>
                    <w:t>对于水环境优先保护区、重点管控区以外，现状水质达标的控</w:t>
                  </w:r>
                </w:p>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cs="Times New Roman"/>
                      <w:b/>
                      <w:bCs/>
                      <w:color w:val="auto"/>
                      <w:kern w:val="0"/>
                      <w:sz w:val="21"/>
                      <w:szCs w:val="21"/>
                      <w:lang w:val="en-US" w:eastAsia="zh-CN"/>
                    </w:rPr>
                  </w:pPr>
                  <w:r>
                    <w:rPr>
                      <w:rFonts w:hint="eastAsia" w:cs="Times New Roman"/>
                      <w:b w:val="0"/>
                      <w:bCs w:val="0"/>
                      <w:color w:val="auto"/>
                      <w:kern w:val="0"/>
                      <w:sz w:val="21"/>
                      <w:szCs w:val="21"/>
                      <w:lang w:val="en-US" w:eastAsia="zh-CN"/>
                    </w:rPr>
                    <w:t>制断面所对应的一般管控区，应落实《中华人民共和国水污染防治法》等相关法律法规的总体要求，加强水资源节约和保护，积极推动水生态修复治理，持续深入推进水污染防治，改善水环境质量。</w:t>
                  </w:r>
                </w:p>
              </w:tc>
              <w:tc>
                <w:tcPr>
                  <w:tcW w:w="1640"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cs="Times New Roman"/>
                      <w:color w:val="auto"/>
                      <w:kern w:val="0"/>
                      <w:sz w:val="21"/>
                      <w:szCs w:val="21"/>
                      <w:lang w:val="en-US" w:eastAsia="zh-CN"/>
                    </w:rPr>
                  </w:pPr>
                  <w:r>
                    <w:rPr>
                      <w:rFonts w:hint="eastAsia" w:cs="Times New Roman"/>
                      <w:color w:val="auto"/>
                      <w:kern w:val="0"/>
                      <w:sz w:val="21"/>
                      <w:szCs w:val="21"/>
                      <w:lang w:val="en-US" w:eastAsia="zh-CN"/>
                    </w:rPr>
                    <w:t>本项目为农产品基地建设项目，</w:t>
                  </w:r>
                  <w:r>
                    <w:rPr>
                      <w:rFonts w:hint="eastAsia" w:cs="Times New Roman"/>
                      <w:color w:val="auto"/>
                      <w:sz w:val="21"/>
                      <w:szCs w:val="21"/>
                      <w:highlight w:val="none"/>
                      <w:lang w:val="en-US" w:eastAsia="zh-CN"/>
                    </w:rPr>
                    <w:t>项目建设期对周边造成少量生态扰动，但总体影响可接受</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kern w:val="0"/>
                      <w:sz w:val="21"/>
                      <w:szCs w:val="21"/>
                      <w:lang w:val="en-US" w:eastAsia="zh-CN"/>
                    </w:rPr>
                    <w:t>项目建成后，</w:t>
                  </w:r>
                  <w:r>
                    <w:rPr>
                      <w:rFonts w:hint="eastAsia" w:cs="Times New Roman"/>
                      <w:color w:val="auto"/>
                      <w:spacing w:val="9"/>
                      <w:sz w:val="21"/>
                      <w:szCs w:val="21"/>
                      <w:highlight w:val="none"/>
                      <w:lang w:val="en-US" w:eastAsia="zh-CN"/>
                    </w:rPr>
                    <w:t>运营期废水主要为职工生活污水，</w:t>
                  </w:r>
                  <w:r>
                    <w:rPr>
                      <w:rFonts w:hint="eastAsia" w:cs="Times New Roman"/>
                      <w:snapToGrid w:val="0"/>
                      <w:color w:val="auto"/>
                      <w:kern w:val="0"/>
                      <w:sz w:val="21"/>
                      <w:szCs w:val="21"/>
                      <w:highlight w:val="none"/>
                      <w:vertAlign w:val="baseline"/>
                      <w:lang w:val="en-US" w:eastAsia="zh-CN"/>
                    </w:rPr>
                    <w:t>利用周边居民旱厕，</w:t>
                  </w:r>
                  <w:r>
                    <w:rPr>
                      <w:rFonts w:hint="eastAsia" w:cs="Times New Roman"/>
                      <w:color w:val="auto"/>
                      <w:szCs w:val="21"/>
                      <w:highlight w:val="none"/>
                      <w:lang w:val="en-US" w:eastAsia="zh-CN"/>
                    </w:rPr>
                    <w:t>定期清掏，用于周边农田施肥。</w:t>
                  </w:r>
                  <w:r>
                    <w:rPr>
                      <w:rFonts w:hint="default" w:ascii="Times New Roman" w:hAnsi="Times New Roman" w:eastAsia="宋体" w:cs="Times New Roman"/>
                      <w:color w:val="auto"/>
                      <w:spacing w:val="9"/>
                      <w:sz w:val="21"/>
                      <w:szCs w:val="21"/>
                      <w:highlight w:val="none"/>
                    </w:rPr>
                    <w:t>少量盥洗废水用于泼洒抑尘</w:t>
                  </w:r>
                  <w:r>
                    <w:rPr>
                      <w:rFonts w:hint="eastAsia" w:cs="Times New Roman"/>
                      <w:color w:val="auto"/>
                      <w:spacing w:val="9"/>
                      <w:sz w:val="21"/>
                      <w:szCs w:val="21"/>
                      <w:highlight w:val="none"/>
                      <w:lang w:eastAsia="zh-CN"/>
                    </w:rPr>
                    <w:t>。</w:t>
                  </w:r>
                  <w:r>
                    <w:rPr>
                      <w:rFonts w:hint="eastAsia" w:cs="Times New Roman"/>
                      <w:color w:val="auto"/>
                      <w:spacing w:val="9"/>
                      <w:sz w:val="21"/>
                      <w:szCs w:val="21"/>
                      <w:highlight w:val="none"/>
                      <w:lang w:val="en-US" w:eastAsia="zh-CN"/>
                    </w:rPr>
                    <w:t>空气能热泵排水用于堆料棚洒水抑尘，</w:t>
                  </w:r>
                  <w:r>
                    <w:rPr>
                      <w:rFonts w:hint="eastAsia" w:cs="Times New Roman"/>
                      <w:color w:val="auto"/>
                      <w:kern w:val="0"/>
                      <w:sz w:val="21"/>
                      <w:szCs w:val="21"/>
                      <w:lang w:val="en-US" w:eastAsia="zh-CN"/>
                    </w:rPr>
                    <w:t>不外排。</w:t>
                  </w:r>
                </w:p>
              </w:tc>
              <w:tc>
                <w:tcPr>
                  <w:tcW w:w="435"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lang w:val="en-US" w:eastAsia="zh-CN"/>
                    </w:rPr>
                  </w:pPr>
                  <w:r>
                    <w:rPr>
                      <w:rFonts w:hint="eastAsia" w:cs="Times New Roman"/>
                      <w:b/>
                      <w:bCs/>
                      <w:color w:val="auto"/>
                      <w:kern w:val="0"/>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restar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lang w:val="en-US" w:eastAsia="zh-CN"/>
                    </w:rPr>
                    <w:t>大气环境分区管控</w:t>
                  </w:r>
                </w:p>
              </w:tc>
              <w:tc>
                <w:tcPr>
                  <w:tcW w:w="2482" w:type="pct"/>
                  <w:gridSpan w:val="2"/>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lang w:val="en-US" w:eastAsia="zh-CN" w:bidi="ar-SA"/>
                    </w:rPr>
                  </w:pPr>
                  <w:r>
                    <w:rPr>
                      <w:rFonts w:hint="default" w:ascii="Times New Roman" w:hAnsi="Times New Roman" w:cs="Times New Roman"/>
                      <w:color w:val="auto"/>
                      <w:kern w:val="0"/>
                      <w:sz w:val="21"/>
                      <w:szCs w:val="21"/>
                      <w:lang w:val="en-US" w:eastAsia="zh-CN" w:bidi="ar-SA"/>
                    </w:rPr>
                    <w:t>基于区域大气环境流场模拟结果，考虑人口分布、大气污染传输规律和土地利用现状等，识别模拟网格单元主导属性，将全市划分为大气环境优先保护区、大气环境重点管控区和大气环境一般管控区，实施分类管理。</w:t>
                  </w:r>
                </w:p>
              </w:tc>
              <w:tc>
                <w:tcPr>
                  <w:tcW w:w="1640"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sz w:val="21"/>
                      <w:szCs w:val="21"/>
                      <w:lang w:val="en-US" w:eastAsia="zh-CN"/>
                    </w:rPr>
                    <w:t>对照固原市</w:t>
                  </w:r>
                  <w:r>
                    <w:rPr>
                      <w:rFonts w:hint="eastAsia" w:cs="Times New Roman"/>
                      <w:color w:val="auto"/>
                      <w:sz w:val="21"/>
                      <w:szCs w:val="21"/>
                      <w:lang w:val="en-US" w:eastAsia="zh-CN"/>
                    </w:rPr>
                    <w:t>生态环境分区管控</w:t>
                  </w:r>
                  <w:r>
                    <w:rPr>
                      <w:rFonts w:hint="default" w:ascii="Times New Roman" w:hAnsi="Times New Roman" w:cs="Times New Roman"/>
                      <w:color w:val="auto"/>
                      <w:sz w:val="21"/>
                      <w:szCs w:val="21"/>
                      <w:lang w:val="en-US" w:eastAsia="zh-CN"/>
                    </w:rPr>
                    <w:t>图集中大气环境管控分区图可知，</w:t>
                  </w:r>
                  <w:r>
                    <w:rPr>
                      <w:rFonts w:hint="eastAsia" w:cs="Times New Roman"/>
                      <w:color w:val="auto"/>
                      <w:kern w:val="0"/>
                      <w:sz w:val="21"/>
                      <w:szCs w:val="21"/>
                      <w:lang w:val="en-US" w:eastAsia="zh-CN"/>
                    </w:rPr>
                    <w:t>香水镇卡子村菌菇产业提质扩量建设工程、香水镇米岗村新建菌菇棚建设工程、兴盛乡兴盛村特色农业设施大棚建设工程位于受体敏感重点管控区。</w:t>
                  </w:r>
                  <w:r>
                    <w:rPr>
                      <w:rFonts w:hint="default" w:ascii="Times New Roman" w:hAnsi="Times New Roman" w:cs="Times New Roman"/>
                      <w:color w:val="auto"/>
                      <w:kern w:val="0"/>
                      <w:sz w:val="21"/>
                      <w:szCs w:val="21"/>
                      <w:lang w:val="en-US" w:eastAsia="zh-CN"/>
                    </w:rPr>
                    <w:t>大湾乡养菌棚改造及木耳配套设施建设工程</w:t>
                  </w:r>
                  <w:r>
                    <w:rPr>
                      <w:rFonts w:hint="eastAsia" w:cs="Times New Roman"/>
                      <w:color w:val="auto"/>
                      <w:kern w:val="0"/>
                      <w:sz w:val="21"/>
                      <w:szCs w:val="21"/>
                      <w:lang w:val="en-US" w:eastAsia="zh-CN"/>
                    </w:rPr>
                    <w:t>、</w:t>
                  </w:r>
                  <w:r>
                    <w:rPr>
                      <w:rFonts w:hint="default" w:ascii="Times New Roman" w:hAnsi="Times New Roman" w:cs="Times New Roman"/>
                      <w:color w:val="auto"/>
                      <w:kern w:val="0"/>
                      <w:sz w:val="21"/>
                      <w:szCs w:val="21"/>
                      <w:lang w:val="en-US" w:eastAsia="zh-CN"/>
                    </w:rPr>
                    <w:t>黄花乡沙塘村菌菇产业园区扩容提升建设工程</w:t>
                  </w:r>
                  <w:r>
                    <w:rPr>
                      <w:rFonts w:hint="eastAsia" w:cs="Times New Roman"/>
                      <w:color w:val="auto"/>
                      <w:kern w:val="0"/>
                      <w:sz w:val="21"/>
                      <w:szCs w:val="21"/>
                      <w:lang w:val="en-US" w:eastAsia="zh-CN"/>
                    </w:rPr>
                    <w:t>、黄花乡羊槽村菌菇产业园建设工程、新民乡马河滩村菌菇大棚建设工程、泾河源镇白面村新建菌菇大棚建设工程、泾河源镇白面村菌菇产业园区建设工程处于环境一般管控区。</w:t>
                  </w:r>
                  <w:r>
                    <w:rPr>
                      <w:rFonts w:hint="default" w:ascii="Times New Roman" w:hAnsi="Times New Roman" w:cs="Times New Roman"/>
                      <w:color w:val="auto"/>
                      <w:sz w:val="21"/>
                      <w:szCs w:val="21"/>
                    </w:rPr>
                    <w:t>项目与</w:t>
                  </w:r>
                  <w:r>
                    <w:rPr>
                      <w:rFonts w:hint="default" w:ascii="Times New Roman" w:hAnsi="Times New Roman" w:cs="Times New Roman"/>
                      <w:color w:val="auto"/>
                      <w:sz w:val="21"/>
                      <w:szCs w:val="21"/>
                      <w:lang w:eastAsia="zh-CN"/>
                    </w:rPr>
                    <w:t>固原市</w:t>
                  </w:r>
                  <w:r>
                    <w:rPr>
                      <w:rFonts w:hint="default" w:ascii="Times New Roman" w:hAnsi="Times New Roman" w:cs="Times New Roman"/>
                      <w:color w:val="auto"/>
                      <w:sz w:val="21"/>
                      <w:szCs w:val="21"/>
                    </w:rPr>
                    <w:t>大气环境管控</w:t>
                  </w:r>
                  <w:r>
                    <w:rPr>
                      <w:rFonts w:hint="default" w:ascii="Times New Roman" w:hAnsi="Times New Roman" w:cs="Times New Roman"/>
                      <w:color w:val="auto"/>
                      <w:sz w:val="21"/>
                      <w:szCs w:val="21"/>
                      <w:lang w:eastAsia="zh-CN"/>
                    </w:rPr>
                    <w:t>分区</w:t>
                  </w:r>
                  <w:r>
                    <w:rPr>
                      <w:rFonts w:hint="default" w:ascii="Times New Roman" w:hAnsi="Times New Roman" w:cs="Times New Roman"/>
                      <w:color w:val="auto"/>
                      <w:sz w:val="21"/>
                      <w:szCs w:val="21"/>
                    </w:rPr>
                    <w:t>位置关系见附图</w:t>
                  </w:r>
                  <w:r>
                    <w:rPr>
                      <w:rFonts w:hint="default" w:ascii="Times New Roman" w:hAnsi="Times New Roman" w:cs="Times New Roman"/>
                      <w:color w:val="auto"/>
                      <w:sz w:val="21"/>
                      <w:szCs w:val="21"/>
                      <w:lang w:val="en-US" w:eastAsia="zh-CN"/>
                    </w:rPr>
                    <w:t>3</w:t>
                  </w:r>
                  <w:r>
                    <w:rPr>
                      <w:rFonts w:hint="default" w:ascii="Times New Roman" w:hAnsi="Times New Roman" w:cs="Times New Roman"/>
                      <w:color w:val="auto"/>
                      <w:sz w:val="21"/>
                      <w:szCs w:val="21"/>
                    </w:rPr>
                    <w:t>。</w:t>
                  </w:r>
                </w:p>
              </w:tc>
              <w:tc>
                <w:tcPr>
                  <w:tcW w:w="435" w:type="pct"/>
                  <w:vMerge w:val="restar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eastAsia="zh-CN"/>
                    </w:rPr>
                  </w:pPr>
                  <w:r>
                    <w:rPr>
                      <w:rFonts w:hint="eastAsia" w:cs="Times New Roman"/>
                      <w:color w:val="auto"/>
                      <w:kern w:val="0"/>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continue"/>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lang w:eastAsia="zh-CN"/>
                    </w:rPr>
                  </w:pPr>
                </w:p>
              </w:tc>
              <w:tc>
                <w:tcPr>
                  <w:tcW w:w="2482" w:type="pct"/>
                  <w:gridSpan w:val="2"/>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b/>
                      <w:bCs/>
                      <w:color w:val="auto"/>
                      <w:sz w:val="21"/>
                      <w:szCs w:val="21"/>
                      <w:lang w:eastAsia="zh-CN"/>
                    </w:rPr>
                    <w:t>大气环境</w:t>
                  </w:r>
                  <w:r>
                    <w:rPr>
                      <w:rFonts w:hint="eastAsia" w:cs="Times New Roman"/>
                      <w:b/>
                      <w:bCs/>
                      <w:color w:val="auto"/>
                      <w:sz w:val="21"/>
                      <w:szCs w:val="21"/>
                      <w:lang w:val="en-US" w:eastAsia="zh-CN"/>
                    </w:rPr>
                    <w:t>一般管控区</w:t>
                  </w:r>
                  <w:r>
                    <w:rPr>
                      <w:rFonts w:hint="default" w:ascii="Times New Roman" w:hAnsi="Times New Roman" w:cs="Times New Roman"/>
                      <w:b/>
                      <w:bCs/>
                      <w:color w:val="auto"/>
                      <w:sz w:val="21"/>
                      <w:szCs w:val="21"/>
                      <w:lang w:eastAsia="zh-CN"/>
                    </w:rPr>
                    <w:t>：</w:t>
                  </w:r>
                  <w:r>
                    <w:rPr>
                      <w:rFonts w:hint="default" w:ascii="Times New Roman" w:hAnsi="Times New Roman" w:cs="Times New Roman"/>
                      <w:color w:val="auto"/>
                      <w:sz w:val="21"/>
                      <w:szCs w:val="21"/>
                      <w:lang w:val="en-US" w:eastAsia="zh-CN"/>
                    </w:rPr>
                    <w:t>落实《中华人民共和国大气污染防治</w:t>
                  </w:r>
                  <w:r>
                    <w:rPr>
                      <w:rFonts w:hint="default" w:ascii="Times New Roman" w:hAnsi="Times New Roman" w:cs="Times New Roman"/>
                      <w:color w:val="auto"/>
                      <w:sz w:val="21"/>
                      <w:szCs w:val="21"/>
                      <w:lang w:eastAsia="zh-CN"/>
                    </w:rPr>
                    <w:t>法》等相关法律法规的一般要求，在满足区域基本的污染物排放标准和污染防治要求基础上，进一步采用更清洁的生产方式和更有效的污染治理措施，推动区域环境空气质量持续改善。毗邻大气环境优先保护区的新建项目，还应特别注意污染物排放对优先保护区的影响，应优化选址方案或采取有效的污染防治措施，避免对一类区空气质量造成不利影响。</w:t>
                  </w:r>
                </w:p>
              </w:tc>
              <w:tc>
                <w:tcPr>
                  <w:tcW w:w="1640"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val="en-US" w:eastAsia="zh-CN"/>
                    </w:rPr>
                    <w:t>本项目</w:t>
                  </w:r>
                  <w:r>
                    <w:rPr>
                      <w:rFonts w:hint="eastAsia" w:cs="Times New Roman"/>
                      <w:color w:val="auto"/>
                      <w:kern w:val="0"/>
                      <w:sz w:val="21"/>
                      <w:szCs w:val="21"/>
                      <w:lang w:val="en-US" w:eastAsia="zh-CN"/>
                    </w:rPr>
                    <w:t>主要为农产品基地建设项目</w:t>
                  </w:r>
                  <w:r>
                    <w:rPr>
                      <w:rFonts w:hint="default" w:ascii="Times New Roman" w:hAnsi="Times New Roman" w:eastAsia="宋体"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eastAsia="zh-CN"/>
                    </w:rPr>
                    <w:t>施工期</w:t>
                  </w:r>
                  <w:r>
                    <w:rPr>
                      <w:rFonts w:hint="eastAsia" w:cs="Times New Roman"/>
                      <w:color w:val="auto"/>
                      <w:kern w:val="0"/>
                      <w:sz w:val="21"/>
                      <w:szCs w:val="21"/>
                      <w:lang w:val="en-US" w:eastAsia="zh-CN"/>
                    </w:rPr>
                    <w:t>大气</w:t>
                  </w:r>
                  <w:r>
                    <w:rPr>
                      <w:rFonts w:hint="default" w:ascii="Times New Roman" w:hAnsi="Times New Roman" w:eastAsia="宋体" w:cs="Times New Roman"/>
                      <w:color w:val="auto"/>
                      <w:kern w:val="0"/>
                      <w:sz w:val="21"/>
                      <w:szCs w:val="21"/>
                      <w:lang w:eastAsia="zh-CN"/>
                    </w:rPr>
                    <w:t>影响时间短，在施工期结束后影响随即消失；符合大气环境</w:t>
                  </w:r>
                  <w:r>
                    <w:rPr>
                      <w:rFonts w:hint="eastAsia" w:eastAsia="宋体" w:cs="Times New Roman"/>
                      <w:color w:val="auto"/>
                      <w:kern w:val="0"/>
                      <w:sz w:val="21"/>
                      <w:szCs w:val="21"/>
                      <w:lang w:val="en-US" w:eastAsia="zh-CN"/>
                    </w:rPr>
                    <w:t>优先保护区</w:t>
                  </w:r>
                  <w:r>
                    <w:rPr>
                      <w:rFonts w:hint="default" w:ascii="Times New Roman" w:hAnsi="Times New Roman" w:eastAsia="宋体" w:cs="Times New Roman"/>
                      <w:color w:val="auto"/>
                      <w:kern w:val="0"/>
                      <w:sz w:val="21"/>
                      <w:szCs w:val="21"/>
                      <w:lang w:eastAsia="zh-CN"/>
                    </w:rPr>
                    <w:t>管控要求。施工期采取施工场地设置施工围挡、土方开挖采用湿法作业、定期洒水降尘、运输车辆加盖篷布、车辆驶离工地前应在洗车平台清洗轮胎及车身、不得带泥上路等措施。项目施工废气对周边大气环境质量影响较小，</w:t>
                  </w:r>
                  <w:r>
                    <w:rPr>
                      <w:rFonts w:hint="eastAsia" w:cs="Times New Roman"/>
                      <w:color w:val="auto"/>
                      <w:kern w:val="0"/>
                      <w:sz w:val="21"/>
                      <w:szCs w:val="21"/>
                      <w:lang w:val="en-US" w:eastAsia="zh-CN"/>
                    </w:rPr>
                    <w:t>项目运营期无废气产生</w:t>
                  </w:r>
                  <w:r>
                    <w:rPr>
                      <w:rFonts w:hint="default" w:ascii="Times New Roman" w:hAnsi="Times New Roman" w:eastAsia="宋体" w:cs="Times New Roman"/>
                      <w:color w:val="auto"/>
                      <w:spacing w:val="9"/>
                      <w:sz w:val="21"/>
                      <w:szCs w:val="21"/>
                      <w:highlight w:val="none"/>
                      <w:lang w:val="en-US" w:eastAsia="zh-CN"/>
                    </w:rPr>
                    <w:t>。</w:t>
                  </w:r>
                  <w:r>
                    <w:rPr>
                      <w:rFonts w:hint="default" w:ascii="Times New Roman" w:hAnsi="Times New Roman" w:eastAsia="宋体" w:cs="Times New Roman"/>
                      <w:color w:val="auto"/>
                      <w:kern w:val="0"/>
                      <w:sz w:val="21"/>
                      <w:szCs w:val="21"/>
                      <w:lang w:eastAsia="zh-CN"/>
                    </w:rPr>
                    <w:t>不会触及区域大气环境质量底线</w:t>
                  </w:r>
                  <w:r>
                    <w:rPr>
                      <w:rFonts w:hint="default" w:ascii="Times New Roman" w:hAnsi="Times New Roman" w:eastAsia="宋体"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eastAsia="zh-CN"/>
                    </w:rPr>
                    <w:t>符合</w:t>
                  </w:r>
                  <w:r>
                    <w:rPr>
                      <w:rFonts w:hint="eastAsia" w:ascii="Times New Roman" w:hAnsi="Times New Roman" w:eastAsia="宋体" w:cs="Times New Roman"/>
                      <w:color w:val="auto"/>
                      <w:kern w:val="0"/>
                      <w:sz w:val="21"/>
                      <w:szCs w:val="21"/>
                      <w:lang w:val="en-US" w:eastAsia="zh-CN"/>
                    </w:rPr>
                    <w:t>固原市</w:t>
                  </w:r>
                  <w:r>
                    <w:rPr>
                      <w:rFonts w:hint="default" w:ascii="Times New Roman" w:hAnsi="Times New Roman" w:eastAsia="宋体" w:cs="Times New Roman"/>
                      <w:color w:val="auto"/>
                      <w:kern w:val="0"/>
                      <w:sz w:val="21"/>
                      <w:szCs w:val="21"/>
                      <w:lang w:eastAsia="zh-CN"/>
                    </w:rPr>
                    <w:t>大气环境</w:t>
                  </w:r>
                  <w:r>
                    <w:rPr>
                      <w:rFonts w:hint="eastAsia" w:cs="Times New Roman"/>
                      <w:color w:val="auto"/>
                      <w:kern w:val="0"/>
                      <w:sz w:val="21"/>
                      <w:szCs w:val="21"/>
                      <w:lang w:val="en-US" w:eastAsia="zh-CN"/>
                    </w:rPr>
                    <w:t>一般管控区</w:t>
                  </w:r>
                  <w:r>
                    <w:rPr>
                      <w:rFonts w:hint="default" w:ascii="Times New Roman" w:hAnsi="Times New Roman" w:eastAsia="宋体" w:cs="Times New Roman"/>
                      <w:color w:val="auto"/>
                      <w:kern w:val="0"/>
                      <w:sz w:val="21"/>
                      <w:szCs w:val="21"/>
                      <w:lang w:eastAsia="zh-CN"/>
                    </w:rPr>
                    <w:t>管控要求。</w:t>
                  </w:r>
                </w:p>
              </w:tc>
              <w:tc>
                <w:tcPr>
                  <w:tcW w:w="435" w:type="pct"/>
                  <w:vMerge w:val="continue"/>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continue"/>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lang w:eastAsia="zh-CN"/>
                    </w:rPr>
                  </w:pPr>
                </w:p>
              </w:tc>
              <w:tc>
                <w:tcPr>
                  <w:tcW w:w="2482" w:type="pct"/>
                  <w:gridSpan w:val="2"/>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sz w:val="21"/>
                      <w:szCs w:val="21"/>
                      <w:lang w:eastAsia="zh-CN"/>
                    </w:rPr>
                  </w:pPr>
                  <w:r>
                    <w:rPr>
                      <w:rFonts w:hint="default" w:ascii="Times New Roman" w:hAnsi="Times New Roman" w:cs="Times New Roman"/>
                      <w:b/>
                      <w:bCs/>
                      <w:color w:val="auto"/>
                      <w:sz w:val="21"/>
                      <w:szCs w:val="21"/>
                      <w:lang w:val="en-US" w:eastAsia="zh-CN"/>
                    </w:rPr>
                    <w:t>大气环境受体敏感重点管控区：</w:t>
                  </w:r>
                  <w:r>
                    <w:rPr>
                      <w:rFonts w:hint="default" w:ascii="Times New Roman" w:hAnsi="Times New Roman" w:cs="Times New Roman"/>
                      <w:b w:val="0"/>
                      <w:bCs w:val="0"/>
                      <w:color w:val="auto"/>
                      <w:sz w:val="21"/>
                      <w:szCs w:val="21"/>
                      <w:lang w:val="en-US" w:eastAsia="zh-CN"/>
                    </w:rPr>
                    <w:t>推进固原市区、四县县</w:t>
                  </w:r>
                  <w:r>
                    <w:rPr>
                      <w:rFonts w:hint="default" w:ascii="Times New Roman" w:hAnsi="Times New Roman" w:cs="Times New Roman"/>
                      <w:b w:val="0"/>
                      <w:bCs w:val="0"/>
                      <w:color w:val="auto"/>
                      <w:sz w:val="21"/>
                      <w:szCs w:val="21"/>
                      <w:lang w:eastAsia="zh-CN"/>
                    </w:rPr>
                    <w:t>城、乡镇所在地和城市周边等重点区域清洁供暖。禁止在高排放非道路移动机械禁止使用区域内使用污染物排放达不到 GB36886中规定的Ⅲ类限值标准或排放黑烟等明显可视污染物的非道路移动柴油工程机械。严格落实建筑、拆迁工地“6个 100%”防控措施，最大限度减少城市建成区裸露地面，提高城市建成区道路机械化清扫率。严格限制产生和排放有毒有害大气污染物项目，鼓励现有该类项目逐步搬迁退出。禁止焚烧产生有毒有害烟尘和恶臭气体的物质。加强餐饮业燃料烟气及餐饮油烟防治，鼓励餐饮业及居民生活能源使用天然气、液化石油气、生物酒精等洁净能源。加快新能源汽车推广使用，推进新能源汽车有序替换存量燃油公交车。</w:t>
                  </w:r>
                </w:p>
              </w:tc>
              <w:tc>
                <w:tcPr>
                  <w:tcW w:w="1640"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香水镇卡子村菌菇产业提质扩量建设工程、香水镇米岗村新建菌菇棚建设工程、兴盛乡兴盛村特色农业设施大棚建设工程位于受体敏感重点管控区。</w:t>
                  </w:r>
                  <w:r>
                    <w:rPr>
                      <w:rFonts w:hint="eastAsia" w:cs="Times New Roman"/>
                      <w:bCs/>
                      <w:color w:val="auto"/>
                      <w:sz w:val="21"/>
                      <w:szCs w:val="21"/>
                      <w:highlight w:val="none"/>
                      <w:lang w:val="en-US" w:eastAsia="zh-CN"/>
                    </w:rPr>
                    <w:t>本项目通过</w:t>
                  </w:r>
                  <w:r>
                    <w:rPr>
                      <w:rFonts w:hint="default" w:ascii="Times New Roman" w:hAnsi="Times New Roman" w:eastAsia="宋体" w:cs="Times New Roman"/>
                      <w:bCs/>
                      <w:color w:val="auto"/>
                      <w:sz w:val="21"/>
                      <w:szCs w:val="21"/>
                      <w:highlight w:val="none"/>
                    </w:rPr>
                    <w:t>加强施工机械的使用管理和保养维修，合理降低使用次数，优化机械设备</w:t>
                  </w: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并使用优质燃料，减少尾气排放。</w:t>
                  </w:r>
                </w:p>
              </w:tc>
              <w:tc>
                <w:tcPr>
                  <w:tcW w:w="435"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restar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lang w:val="en-US" w:eastAsia="zh-CN"/>
                    </w:rPr>
                    <w:t>土壤污染风险防控底线及分区管控</w:t>
                  </w:r>
                </w:p>
              </w:tc>
              <w:tc>
                <w:tcPr>
                  <w:tcW w:w="2482" w:type="pct"/>
                  <w:gridSpan w:val="2"/>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rPr>
                    <w:t>根据土壤环境质量现状、土地利用现状，综合考虑农用地土壤污染状况详查和重点行业企业用地详查结果，衔接现有污染地块名录、土壤环境重点监管企业清单等，将全市划分为农用地</w:t>
                  </w:r>
                  <w:r>
                    <w:rPr>
                      <w:rFonts w:hint="default" w:ascii="Times New Roman" w:hAnsi="Times New Roman" w:cs="Times New Roman"/>
                      <w:color w:val="auto"/>
                      <w:kern w:val="0"/>
                      <w:sz w:val="21"/>
                      <w:szCs w:val="21"/>
                      <w:lang w:eastAsia="zh-CN"/>
                    </w:rPr>
                    <w:t>优先保护区和土壤一般管控区。</w:t>
                  </w:r>
                </w:p>
              </w:tc>
              <w:tc>
                <w:tcPr>
                  <w:tcW w:w="1640"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r>
                    <w:rPr>
                      <w:rFonts w:hint="eastAsia" w:cs="Times New Roman"/>
                      <w:color w:val="auto"/>
                      <w:kern w:val="0"/>
                      <w:sz w:val="21"/>
                      <w:szCs w:val="21"/>
                      <w:lang w:val="en-US" w:eastAsia="zh-CN"/>
                    </w:rPr>
                    <w:t>对照</w:t>
                  </w:r>
                  <w:r>
                    <w:rPr>
                      <w:rFonts w:hint="default" w:ascii="Times New Roman" w:hAnsi="Times New Roman" w:cs="Times New Roman"/>
                      <w:color w:val="auto"/>
                      <w:kern w:val="0"/>
                      <w:sz w:val="21"/>
                      <w:szCs w:val="21"/>
                      <w:lang w:val="en-US" w:eastAsia="zh-CN"/>
                    </w:rPr>
                    <w:t>固原市</w:t>
                  </w:r>
                  <w:r>
                    <w:rPr>
                      <w:rFonts w:hint="eastAsia" w:cs="Times New Roman"/>
                      <w:color w:val="auto"/>
                      <w:kern w:val="0"/>
                      <w:sz w:val="21"/>
                      <w:szCs w:val="21"/>
                      <w:lang w:val="en-US" w:eastAsia="zh-CN"/>
                    </w:rPr>
                    <w:t>生态环境分区管控</w:t>
                  </w:r>
                  <w:r>
                    <w:rPr>
                      <w:rFonts w:hint="default" w:ascii="Times New Roman" w:hAnsi="Times New Roman" w:cs="Times New Roman"/>
                      <w:color w:val="auto"/>
                      <w:kern w:val="0"/>
                      <w:sz w:val="21"/>
                      <w:szCs w:val="21"/>
                      <w:lang w:val="en-US" w:eastAsia="zh-CN"/>
                    </w:rPr>
                    <w:t>图集中土壤污染风险分区管控图可知，</w:t>
                  </w:r>
                  <w:r>
                    <w:rPr>
                      <w:rFonts w:hint="default" w:ascii="Times New Roman" w:hAnsi="Times New Roman" w:cs="Times New Roman"/>
                      <w:color w:val="auto"/>
                      <w:kern w:val="0"/>
                      <w:sz w:val="21"/>
                      <w:szCs w:val="21"/>
                      <w:lang w:eastAsia="zh-CN"/>
                    </w:rPr>
                    <w:t>项目位于</w:t>
                  </w:r>
                  <w:r>
                    <w:rPr>
                      <w:rFonts w:hint="eastAsia" w:cs="Times New Roman"/>
                      <w:color w:val="auto"/>
                      <w:kern w:val="0"/>
                      <w:sz w:val="21"/>
                      <w:szCs w:val="21"/>
                      <w:lang w:val="en-US" w:eastAsia="zh-CN"/>
                    </w:rPr>
                    <w:t>一般管控区</w:t>
                  </w:r>
                  <w:r>
                    <w:rPr>
                      <w:rFonts w:hint="default" w:ascii="Times New Roman" w:hAnsi="Times New Roman" w:cs="Times New Roman"/>
                      <w:color w:val="auto"/>
                      <w:kern w:val="0"/>
                      <w:sz w:val="21"/>
                      <w:szCs w:val="21"/>
                    </w:rPr>
                    <w:t>，项目与</w:t>
                  </w:r>
                  <w:r>
                    <w:rPr>
                      <w:rFonts w:hint="default" w:ascii="Times New Roman" w:hAnsi="Times New Roman" w:cs="Times New Roman"/>
                      <w:color w:val="auto"/>
                      <w:kern w:val="0"/>
                      <w:sz w:val="21"/>
                      <w:szCs w:val="21"/>
                      <w:lang w:eastAsia="zh-CN"/>
                    </w:rPr>
                    <w:t>固原市</w:t>
                  </w:r>
                  <w:r>
                    <w:rPr>
                      <w:rFonts w:hint="default" w:ascii="Times New Roman" w:hAnsi="Times New Roman" w:cs="Times New Roman"/>
                      <w:color w:val="auto"/>
                      <w:kern w:val="0"/>
                      <w:sz w:val="21"/>
                      <w:szCs w:val="21"/>
                    </w:rPr>
                    <w:t>土壤污染风险</w:t>
                  </w:r>
                  <w:r>
                    <w:rPr>
                      <w:rFonts w:hint="default" w:ascii="Times New Roman" w:hAnsi="Times New Roman" w:cs="Times New Roman"/>
                      <w:color w:val="auto"/>
                      <w:kern w:val="0"/>
                      <w:sz w:val="21"/>
                      <w:szCs w:val="21"/>
                      <w:lang w:eastAsia="zh-CN"/>
                    </w:rPr>
                    <w:t>分区</w:t>
                  </w:r>
                  <w:r>
                    <w:rPr>
                      <w:rFonts w:hint="default" w:ascii="Times New Roman" w:hAnsi="Times New Roman" w:cs="Times New Roman"/>
                      <w:color w:val="auto"/>
                      <w:kern w:val="0"/>
                      <w:sz w:val="21"/>
                      <w:szCs w:val="21"/>
                    </w:rPr>
                    <w:t>管控位置关系见附图</w:t>
                  </w:r>
                  <w:r>
                    <w:rPr>
                      <w:rFonts w:hint="default" w:ascii="Times New Roman" w:hAnsi="Times New Roman" w:cs="Times New Roman"/>
                      <w:color w:val="auto"/>
                      <w:kern w:val="0"/>
                      <w:sz w:val="21"/>
                      <w:szCs w:val="21"/>
                      <w:lang w:val="en-US" w:eastAsia="zh-CN"/>
                    </w:rPr>
                    <w:t>4</w:t>
                  </w:r>
                  <w:r>
                    <w:rPr>
                      <w:rFonts w:hint="default" w:ascii="Times New Roman" w:hAnsi="Times New Roman" w:cs="Times New Roman"/>
                      <w:color w:val="auto"/>
                      <w:kern w:val="0"/>
                      <w:sz w:val="21"/>
                      <w:szCs w:val="21"/>
                    </w:rPr>
                    <w:t>。</w:t>
                  </w:r>
                </w:p>
              </w:tc>
              <w:tc>
                <w:tcPr>
                  <w:tcW w:w="435" w:type="pct"/>
                  <w:vMerge w:val="restar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continue"/>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rPr>
                  </w:pPr>
                </w:p>
              </w:tc>
              <w:tc>
                <w:tcPr>
                  <w:tcW w:w="2482" w:type="pct"/>
                  <w:gridSpan w:val="2"/>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both"/>
                    <w:textAlignment w:val="auto"/>
                    <w:rPr>
                      <w:rFonts w:hint="default" w:ascii="Times New Roman" w:hAnsi="Times New Roman" w:cs="Times New Roman"/>
                      <w:b/>
                      <w:bCs/>
                      <w:color w:val="auto"/>
                      <w:kern w:val="0"/>
                      <w:sz w:val="21"/>
                      <w:szCs w:val="21"/>
                      <w:lang w:val="en-US" w:eastAsia="zh-CN" w:bidi="ar-SA"/>
                    </w:rPr>
                  </w:pPr>
                  <w:r>
                    <w:rPr>
                      <w:rFonts w:hint="eastAsia" w:cs="Times New Roman"/>
                      <w:b/>
                      <w:bCs/>
                      <w:color w:val="auto"/>
                      <w:kern w:val="0"/>
                      <w:sz w:val="21"/>
                      <w:szCs w:val="21"/>
                      <w:lang w:val="en-US" w:eastAsia="zh-CN"/>
                    </w:rPr>
                    <w:t>一般管控区：</w:t>
                  </w:r>
                  <w:r>
                    <w:rPr>
                      <w:rFonts w:hint="eastAsia" w:cs="Times New Roman"/>
                      <w:b w:val="0"/>
                      <w:bCs w:val="0"/>
                      <w:color w:val="auto"/>
                      <w:kern w:val="0"/>
                      <w:sz w:val="21"/>
                      <w:szCs w:val="21"/>
                      <w:lang w:val="en-US" w:eastAsia="zh-CN"/>
                    </w:rPr>
                    <w:t>禁止在居民区、学校、医疗和养老机构等周边新建有色金属冶炼、焦化等行业企业。排放重点污染物的建设项目，在开展环境影响评价时，要增加对土壤环境影响的评价内容，并提出防范土壤污染的具体措施；需要建设的土壤污染防治设施，要与主体工程同时设计、同时施工、同时投产使用。</w:t>
                  </w:r>
                </w:p>
              </w:tc>
              <w:tc>
                <w:tcPr>
                  <w:tcW w:w="1640"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rPr>
                  </w:pPr>
                  <w:r>
                    <w:rPr>
                      <w:rFonts w:hint="default" w:ascii="Times New Roman" w:hAnsi="Times New Roman" w:eastAsia="宋体"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lang w:val="en-US" w:eastAsia="zh-CN"/>
                    </w:rPr>
                    <w:t>采取了分区防渗，在采取相应的防渗措施的前提下，可有效阻隔对土壤的污染途径。另外，项目为</w:t>
                  </w:r>
                  <w:r>
                    <w:rPr>
                      <w:rFonts w:hint="eastAsia" w:cs="Times New Roman"/>
                      <w:color w:val="auto"/>
                      <w:sz w:val="21"/>
                      <w:szCs w:val="21"/>
                      <w:highlight w:val="none"/>
                      <w:lang w:val="en-US" w:eastAsia="zh-CN"/>
                    </w:rPr>
                    <w:t>农产品基地建设项目</w:t>
                  </w:r>
                  <w:r>
                    <w:rPr>
                      <w:rFonts w:hint="default" w:ascii="Times New Roman" w:hAnsi="Times New Roman" w:cs="Times New Roman"/>
                      <w:color w:val="auto"/>
                      <w:sz w:val="21"/>
                      <w:szCs w:val="21"/>
                      <w:highlight w:val="none"/>
                      <w:lang w:val="en-US" w:eastAsia="zh-CN"/>
                    </w:rPr>
                    <w:t>，不属于有色金属冶炼、焦化等行业</w:t>
                  </w:r>
                  <w:r>
                    <w:rPr>
                      <w:rFonts w:hint="default" w:ascii="Times New Roman" w:hAnsi="Times New Roman" w:cs="Times New Roman"/>
                      <w:color w:val="auto"/>
                      <w:kern w:val="0"/>
                      <w:sz w:val="21"/>
                      <w:szCs w:val="21"/>
                      <w:lang w:eastAsia="zh-CN"/>
                    </w:rPr>
                    <w:t>。</w:t>
                  </w:r>
                </w:p>
              </w:tc>
              <w:tc>
                <w:tcPr>
                  <w:tcW w:w="435" w:type="pct"/>
                  <w:vMerge w:val="continue"/>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5"/>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lang w:eastAsia="zh-CN"/>
                    </w:rPr>
                  </w:pPr>
                  <w:r>
                    <w:rPr>
                      <w:rFonts w:hint="default" w:ascii="Times New Roman" w:hAnsi="Times New Roman" w:cs="Times New Roman"/>
                      <w:b/>
                      <w:bCs/>
                      <w:color w:val="auto"/>
                      <w:kern w:val="0"/>
                      <w:sz w:val="21"/>
                      <w:szCs w:val="21"/>
                    </w:rPr>
                    <w:t>资源利用上线</w:t>
                  </w:r>
                  <w:r>
                    <w:rPr>
                      <w:rFonts w:hint="default" w:ascii="Times New Roman" w:hAnsi="Times New Roman" w:cs="Times New Roman"/>
                      <w:b/>
                      <w:bCs/>
                      <w:color w:val="auto"/>
                      <w:kern w:val="0"/>
                      <w:sz w:val="21"/>
                      <w:szCs w:val="21"/>
                      <w:lang w:eastAsia="zh-CN"/>
                    </w:rPr>
                    <w:t>及分区管控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r>
                    <w:rPr>
                      <w:rFonts w:hint="default" w:ascii="Times New Roman" w:hAnsi="Times New Roman" w:eastAsia="宋体" w:cs="Times New Roman"/>
                      <w:b/>
                      <w:bCs/>
                      <w:color w:val="auto"/>
                      <w:sz w:val="21"/>
                      <w:szCs w:val="21"/>
                      <w:highlight w:val="none"/>
                      <w:lang w:eastAsia="zh-CN"/>
                    </w:rPr>
                    <w:t>能源（煤炭）资源利用上线及分区管控</w:t>
                  </w:r>
                </w:p>
              </w:tc>
              <w:tc>
                <w:tcPr>
                  <w:tcW w:w="2482" w:type="pct"/>
                  <w:gridSpan w:val="2"/>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r>
                    <w:rPr>
                      <w:rFonts w:hint="default" w:ascii="Times New Roman" w:hAnsi="Times New Roman" w:eastAsia="宋体" w:cs="Times New Roman"/>
                      <w:color w:val="auto"/>
                      <w:sz w:val="21"/>
                      <w:szCs w:val="21"/>
                      <w:highlight w:val="none"/>
                      <w:lang w:eastAsia="zh-CN"/>
                    </w:rPr>
                    <w:t>为推动环境空气质量持续改善，实现减污降碳协同增效，根据技术指南要求，提出能源利用上线管控指标。按照《自治区人民政府关于印发宁夏回族自治区“十四五”节能减排综合工作实施方案的通知》(宁政发</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2022]30号)要求，到2025年，全市单位地区生产总值能耗降低基本目标为13%，激励目标为14%。具体考核办法按照自治区发展改革委关于印发《完善能耗强度和总量双控制度推动经济平稳发展若干政策措施》的通知执行。按照《关于统筹和加强应对气候变化与生态环境保护相关工作的指导意见》(环综合</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2021]4号)的有关要求，将应对气候变化要求纳入生态环境分区管控体系，推动减污降碳协同增效。全市碳排放强度累计降低值按照自治区要求执行。</w:t>
                  </w:r>
                </w:p>
              </w:tc>
              <w:tc>
                <w:tcPr>
                  <w:tcW w:w="1640" w:type="pct"/>
                  <w:noWrap w:val="0"/>
                  <w:vAlign w:val="center"/>
                </w:tcPr>
                <w:p>
                  <w:pPr>
                    <w:keepNext w:val="0"/>
                    <w:keepLines w:val="0"/>
                    <w:pageBreakBefore w:val="0"/>
                    <w:widowControl w:val="0"/>
                    <w:kinsoku w:val="0"/>
                    <w:wordWrap/>
                    <w:overflowPunct w:val="0"/>
                    <w:topLinePunct w:val="0"/>
                    <w:autoSpaceDE/>
                    <w:autoSpaceDN/>
                    <w:bidi w:val="0"/>
                    <w:adjustRightInd w:val="0"/>
                    <w:snapToGrid w:val="0"/>
                    <w:spacing w:line="240" w:lineRule="auto"/>
                    <w:ind w:firstLine="420"/>
                    <w:jc w:val="left"/>
                    <w:textAlignment w:val="auto"/>
                    <w:rPr>
                      <w:rFonts w:hint="default" w:ascii="Times New Roman" w:hAnsi="Times New Roman" w:cs="Times New Roman"/>
                      <w:color w:val="auto"/>
                      <w:kern w:val="0"/>
                      <w:sz w:val="21"/>
                      <w:szCs w:val="21"/>
                      <w:lang w:val="en-US"/>
                    </w:rPr>
                  </w:pPr>
                  <w:r>
                    <w:rPr>
                      <w:rFonts w:hint="default" w:ascii="Times New Roman" w:hAnsi="Times New Roman" w:cs="Times New Roman"/>
                      <w:color w:val="auto"/>
                      <w:sz w:val="21"/>
                      <w:szCs w:val="21"/>
                      <w:highlight w:val="none"/>
                      <w:lang w:val="en-US" w:eastAsia="zh-CN"/>
                    </w:rPr>
                    <w:t>本项目</w:t>
                  </w:r>
                  <w:r>
                    <w:rPr>
                      <w:rFonts w:hint="eastAsia" w:cs="Times New Roman"/>
                      <w:color w:val="auto"/>
                      <w:sz w:val="21"/>
                      <w:szCs w:val="21"/>
                      <w:highlight w:val="none"/>
                      <w:lang w:val="en-US" w:eastAsia="zh-CN"/>
                    </w:rPr>
                    <w:t>在菌棒加工车间建设1台2.1MW空气能热泵机组，用于菌棒高温蒸汽杀菌，</w:t>
                  </w:r>
                  <w:r>
                    <w:rPr>
                      <w:rFonts w:hint="default" w:eastAsia="宋体" w:cs="Times New Roman" w:asciiTheme="minorAscii" w:hAnsiTheme="minorAscii"/>
                      <w:snapToGrid w:val="0"/>
                      <w:color w:val="auto"/>
                      <w:kern w:val="0"/>
                      <w:sz w:val="21"/>
                      <w:szCs w:val="21"/>
                      <w:lang w:val="en-US" w:eastAsia="zh-CN"/>
                    </w:rPr>
                    <w:t>不涉及燃煤锅炉；</w:t>
                  </w:r>
                </w:p>
              </w:tc>
              <w:tc>
                <w:tcPr>
                  <w:tcW w:w="435"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r>
                    <w:rPr>
                      <w:rFonts w:hint="default" w:ascii="Times New Roman" w:hAnsi="Times New Roman" w:eastAsia="宋体" w:cs="Times New Roman"/>
                      <w:b/>
                      <w:bCs/>
                      <w:color w:val="auto"/>
                      <w:sz w:val="21"/>
                      <w:szCs w:val="21"/>
                      <w:highlight w:val="none"/>
                      <w:lang w:eastAsia="zh-CN"/>
                    </w:rPr>
                    <w:t>水资源利用上线及分区管控</w:t>
                  </w:r>
                </w:p>
              </w:tc>
              <w:tc>
                <w:tcPr>
                  <w:tcW w:w="2482" w:type="pct"/>
                  <w:gridSpan w:val="2"/>
                  <w:noWrap w:val="0"/>
                  <w:vAlign w:val="center"/>
                </w:tcPr>
                <w:p>
                  <w:pPr>
                    <w:keepNext w:val="0"/>
                    <w:keepLines w:val="0"/>
                    <w:pageBreakBefore w:val="0"/>
                    <w:widowControl/>
                    <w:kinsoku/>
                    <w:wordWrap/>
                    <w:overflowPunct/>
                    <w:topLinePunct w:val="0"/>
                    <w:autoSpaceDE/>
                    <w:autoSpaceDN/>
                    <w:bidi w:val="0"/>
                    <w:adjustRightInd w:val="0"/>
                    <w:snapToGrid w:val="0"/>
                    <w:ind w:firstLine="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b/>
                      <w:bCs/>
                      <w:color w:val="auto"/>
                      <w:sz w:val="21"/>
                      <w:szCs w:val="21"/>
                      <w:highlight w:val="none"/>
                      <w:lang w:eastAsia="zh-CN"/>
                    </w:rPr>
                    <w:t>水资源分区管控要求</w:t>
                  </w:r>
                  <w:r>
                    <w:rPr>
                      <w:rFonts w:hint="default" w:ascii="Times New Roman" w:hAnsi="Times New Roman" w:cs="Times New Roman"/>
                      <w:b/>
                      <w:bCs/>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坚持以水定城、以水定地、以水定人、以水定产，科学配置水资源，严格能耗物耗准入门槛，支撑发展刚需。细化覆盖各行业各领域的节水定额标准，对水资源超载地区实行用水和项目“双限批”。推广农业成套综合节水技术，大力发展节水型农业及工业、涵水型林业。实施工业节水增效行动，改造建设节水型工业园区，推动传统高耗水行业转型升级。鼓励西吉、隆德、泾源、彭阳四县根据实际选择重点区域先行开展海绵化改造和建设。</w:t>
                  </w:r>
                </w:p>
              </w:tc>
              <w:tc>
                <w:tcPr>
                  <w:tcW w:w="1640"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本项目新鲜水用水量为</w:t>
                  </w:r>
                  <w:r>
                    <w:rPr>
                      <w:rFonts w:hint="eastAsia" w:cs="Times New Roman"/>
                      <w:color w:val="auto"/>
                      <w:kern w:val="0"/>
                      <w:sz w:val="21"/>
                      <w:szCs w:val="21"/>
                      <w:highlight w:val="none"/>
                      <w:lang w:val="en-US" w:eastAsia="zh-CN"/>
                    </w:rPr>
                    <w:t>27394</w:t>
                  </w:r>
                  <w:r>
                    <w:rPr>
                      <w:rFonts w:hint="default" w:ascii="Times New Roman" w:hAnsi="Times New Roman" w:cs="Times New Roman"/>
                      <w:color w:val="auto"/>
                      <w:sz w:val="21"/>
                      <w:szCs w:val="21"/>
                      <w:highlight w:val="none"/>
                      <w:lang w:val="en-US" w:eastAsia="zh-CN"/>
                    </w:rPr>
                    <w:t>m³/a</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项目水资源消耗量</w:t>
                  </w:r>
                  <w:r>
                    <w:rPr>
                      <w:rFonts w:hint="default" w:ascii="Times New Roman" w:hAnsi="Times New Roman" w:eastAsia="宋体" w:cs="Times New Roman"/>
                      <w:color w:val="auto"/>
                      <w:sz w:val="21"/>
                      <w:szCs w:val="21"/>
                      <w:highlight w:val="none"/>
                      <w:lang w:val="en-US" w:eastAsia="zh-CN"/>
                    </w:rPr>
                    <w:t>对区域</w:t>
                  </w:r>
                  <w:r>
                    <w:rPr>
                      <w:rFonts w:hint="default" w:ascii="Times New Roman" w:hAnsi="Times New Roman" w:eastAsia="宋体" w:cs="Times New Roman"/>
                      <w:color w:val="auto"/>
                      <w:sz w:val="21"/>
                      <w:szCs w:val="21"/>
                      <w:highlight w:val="none"/>
                      <w:lang w:eastAsia="zh-CN"/>
                    </w:rPr>
                    <w:t>水资源利用</w:t>
                  </w:r>
                  <w:r>
                    <w:rPr>
                      <w:rFonts w:hint="eastAsia" w:cs="Times New Roman"/>
                      <w:color w:val="auto"/>
                      <w:sz w:val="21"/>
                      <w:szCs w:val="21"/>
                      <w:highlight w:val="none"/>
                      <w:lang w:eastAsia="zh-CN"/>
                    </w:rPr>
                    <w:t>上限</w:t>
                  </w:r>
                  <w:r>
                    <w:rPr>
                      <w:rFonts w:hint="default" w:ascii="Times New Roman" w:hAnsi="Times New Roman" w:eastAsia="宋体" w:cs="Times New Roman"/>
                      <w:color w:val="auto"/>
                      <w:sz w:val="21"/>
                      <w:szCs w:val="21"/>
                      <w:highlight w:val="none"/>
                      <w:lang w:val="en-US" w:eastAsia="zh-CN"/>
                    </w:rPr>
                    <w:t>影响较小。</w:t>
                  </w:r>
                </w:p>
              </w:tc>
              <w:tc>
                <w:tcPr>
                  <w:tcW w:w="435"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5"/>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环境管控单元与准入清单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4" w:type="pct"/>
                  <w:gridSpan w:val="4"/>
                  <w:noWrap w:val="0"/>
                  <w:vAlign w:val="center"/>
                </w:tcPr>
                <w:p>
                  <w:pPr>
                    <w:keepNext w:val="0"/>
                    <w:keepLines w:val="0"/>
                    <w:pageBreakBefore w:val="0"/>
                    <w:widowControl/>
                    <w:kinsoku/>
                    <w:wordWrap/>
                    <w:overflowPunct/>
                    <w:topLinePunct w:val="0"/>
                    <w:autoSpaceDE/>
                    <w:autoSpaceDN/>
                    <w:bidi w:val="0"/>
                    <w:adjustRightInd w:val="0"/>
                    <w:snapToGrid w:val="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对照固原市</w:t>
                  </w:r>
                  <w:r>
                    <w:rPr>
                      <w:rFonts w:hint="eastAsia" w:cs="Times New Roman"/>
                      <w:color w:val="auto"/>
                      <w:sz w:val="21"/>
                      <w:szCs w:val="21"/>
                      <w:highlight w:val="none"/>
                      <w:lang w:val="en-US" w:eastAsia="zh-CN"/>
                    </w:rPr>
                    <w:t>生态环境分区管控</w:t>
                  </w:r>
                  <w:r>
                    <w:rPr>
                      <w:rFonts w:hint="default" w:ascii="Times New Roman" w:hAnsi="Times New Roman" w:cs="Times New Roman"/>
                      <w:color w:val="auto"/>
                      <w:sz w:val="21"/>
                      <w:szCs w:val="21"/>
                      <w:highlight w:val="none"/>
                      <w:lang w:val="en-US" w:eastAsia="zh-CN"/>
                    </w:rPr>
                    <w:t>图集中环境管控单元图可知，</w:t>
                  </w:r>
                  <w:r>
                    <w:rPr>
                      <w:rFonts w:hint="default" w:ascii="Times New Roman" w:hAnsi="Times New Roman" w:eastAsia="宋体" w:cs="Times New Roman"/>
                      <w:color w:val="auto"/>
                      <w:sz w:val="21"/>
                      <w:szCs w:val="21"/>
                      <w:highlight w:val="none"/>
                      <w:lang w:val="en-US" w:eastAsia="zh-CN"/>
                    </w:rPr>
                    <w:t>本项目位于</w:t>
                  </w:r>
                  <w:r>
                    <w:rPr>
                      <w:rFonts w:hint="eastAsia" w:eastAsia="宋体" w:cs="Times New Roman"/>
                      <w:color w:val="auto"/>
                      <w:sz w:val="21"/>
                      <w:szCs w:val="21"/>
                      <w:highlight w:val="none"/>
                      <w:lang w:val="en-US" w:eastAsia="zh-CN"/>
                    </w:rPr>
                    <w:t>优先保护单元</w:t>
                  </w:r>
                  <w:r>
                    <w:rPr>
                      <w:rFonts w:hint="default" w:ascii="Times New Roman" w:hAnsi="Times New Roman" w:eastAsia="宋体" w:cs="Times New Roman"/>
                      <w:color w:val="auto"/>
                      <w:sz w:val="21"/>
                      <w:szCs w:val="21"/>
                      <w:highlight w:val="none"/>
                      <w:lang w:val="en-US" w:eastAsia="zh-CN"/>
                    </w:rPr>
                    <w:t>单元，由上</w:t>
                  </w:r>
                  <w:r>
                    <w:rPr>
                      <w:rFonts w:hint="default" w:ascii="Times New Roman" w:hAnsi="Times New Roman" w:cs="Times New Roman"/>
                      <w:color w:val="auto"/>
                      <w:sz w:val="21"/>
                      <w:szCs w:val="21"/>
                      <w:highlight w:val="none"/>
                      <w:lang w:val="en-US" w:eastAsia="zh-CN"/>
                    </w:rPr>
                    <w:t>述</w:t>
                  </w:r>
                  <w:r>
                    <w:rPr>
                      <w:rFonts w:hint="default" w:ascii="Times New Roman" w:hAnsi="Times New Roman" w:eastAsia="宋体" w:cs="Times New Roman"/>
                      <w:color w:val="auto"/>
                      <w:sz w:val="21"/>
                      <w:szCs w:val="21"/>
                      <w:highlight w:val="none"/>
                      <w:lang w:val="en-US" w:eastAsia="zh-CN"/>
                    </w:rPr>
                    <w:t>分析可知，项目建设符合生态保护红线、环境质量底线、资源利用上线的分区管控要求，本项目</w:t>
                  </w:r>
                  <w:r>
                    <w:rPr>
                      <w:rFonts w:hint="default" w:ascii="Times New Roman" w:hAnsi="Times New Roman" w:eastAsia="宋体" w:cs="Times New Roman"/>
                      <w:color w:val="auto"/>
                      <w:sz w:val="21"/>
                      <w:szCs w:val="21"/>
                      <w:highlight w:val="none"/>
                    </w:rPr>
                    <w:t>与</w:t>
                  </w:r>
                  <w:r>
                    <w:rPr>
                      <w:rFonts w:hint="default" w:ascii="Times New Roman" w:hAnsi="Times New Roman" w:eastAsia="宋体" w:cs="Times New Roman"/>
                      <w:color w:val="auto"/>
                      <w:sz w:val="21"/>
                      <w:szCs w:val="21"/>
                      <w:highlight w:val="none"/>
                      <w:lang w:eastAsia="zh-CN"/>
                    </w:rPr>
                    <w:t>固原市</w:t>
                  </w:r>
                  <w:r>
                    <w:rPr>
                      <w:rFonts w:hint="default" w:ascii="Times New Roman" w:hAnsi="Times New Roman" w:eastAsia="宋体" w:cs="Times New Roman"/>
                      <w:color w:val="auto"/>
                      <w:sz w:val="21"/>
                      <w:szCs w:val="21"/>
                      <w:highlight w:val="none"/>
                    </w:rPr>
                    <w:t>环境管控单元位置关系见</w:t>
                  </w:r>
                  <w:r>
                    <w:rPr>
                      <w:rFonts w:hint="default" w:ascii="Times New Roman" w:hAnsi="Times New Roman" w:cs="Times New Roman"/>
                      <w:color w:val="auto"/>
                      <w:sz w:val="21"/>
                      <w:szCs w:val="21"/>
                      <w:highlight w:val="none"/>
                      <w:lang w:eastAsia="zh-CN"/>
                    </w:rPr>
                    <w:t>附</w:t>
                  </w:r>
                  <w:r>
                    <w:rPr>
                      <w:rFonts w:hint="default" w:ascii="Times New Roman" w:hAnsi="Times New Roman" w:eastAsia="宋体" w:cs="Times New Roman"/>
                      <w:color w:val="auto"/>
                      <w:sz w:val="21"/>
                      <w:szCs w:val="21"/>
                      <w:highlight w:val="none"/>
                      <w:shd w:val="clear"/>
                    </w:rPr>
                    <w:t>图</w:t>
                  </w:r>
                  <w:r>
                    <w:rPr>
                      <w:rFonts w:hint="default" w:ascii="Times New Roman" w:hAnsi="Times New Roman" w:cs="Times New Roman"/>
                      <w:color w:val="auto"/>
                      <w:sz w:val="21"/>
                      <w:szCs w:val="21"/>
                      <w:highlight w:val="none"/>
                      <w:shd w:val="clear"/>
                      <w:lang w:val="en-US" w:eastAsia="zh-CN"/>
                    </w:rPr>
                    <w:t>5</w:t>
                  </w:r>
                  <w:r>
                    <w:rPr>
                      <w:rFonts w:hint="default" w:ascii="Times New Roman" w:hAnsi="Times New Roman" w:eastAsia="宋体" w:cs="Times New Roman"/>
                      <w:color w:val="auto"/>
                      <w:sz w:val="21"/>
                      <w:szCs w:val="21"/>
                      <w:highlight w:val="none"/>
                      <w:lang w:eastAsia="zh-CN"/>
                    </w:rPr>
                    <w:t>。</w:t>
                  </w:r>
                </w:p>
              </w:tc>
              <w:tc>
                <w:tcPr>
                  <w:tcW w:w="435" w:type="pct"/>
                  <w:noWrap w:val="0"/>
                  <w:vAlign w:val="center"/>
                </w:tcPr>
                <w:p>
                  <w:pPr>
                    <w:keepNext w:val="0"/>
                    <w:keepLines w:val="0"/>
                    <w:pageBreakBefore w:val="0"/>
                    <w:widowControl/>
                    <w:kinsoku/>
                    <w:wordWrap/>
                    <w:overflowPunct/>
                    <w:topLinePunct w:val="0"/>
                    <w:autoSpaceDE/>
                    <w:autoSpaceDN/>
                    <w:bidi w:val="0"/>
                    <w:adjustRightInd w:val="0"/>
                    <w:snapToGrid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restar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b/>
                      <w:bCs/>
                      <w:color w:val="auto"/>
                      <w:sz w:val="21"/>
                      <w:szCs w:val="21"/>
                      <w:highlight w:val="none"/>
                      <w:lang w:val="en-US" w:eastAsia="zh-CN"/>
                    </w:rPr>
                    <w:t>清单内容</w:t>
                  </w:r>
                </w:p>
              </w:tc>
              <w:tc>
                <w:tcPr>
                  <w:tcW w:w="4558" w:type="pct"/>
                  <w:gridSpan w:val="4"/>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r>
                    <w:rPr>
                      <w:rFonts w:hint="eastAsia" w:cs="Times New Roman"/>
                      <w:b/>
                      <w:bCs/>
                      <w:color w:val="auto"/>
                      <w:sz w:val="21"/>
                      <w:szCs w:val="21"/>
                      <w:highlight w:val="none"/>
                      <w:lang w:val="en-US" w:eastAsia="zh-CN"/>
                    </w:rPr>
                    <w:t>优先保护</w:t>
                  </w:r>
                  <w:r>
                    <w:rPr>
                      <w:rFonts w:hint="default" w:ascii="Times New Roman" w:hAnsi="Times New Roman" w:eastAsia="宋体" w:cs="Times New Roman"/>
                      <w:b/>
                      <w:bCs/>
                      <w:color w:val="auto"/>
                      <w:sz w:val="21"/>
                      <w:szCs w:val="21"/>
                      <w:highlight w:val="none"/>
                      <w:lang w:val="en-US" w:eastAsia="zh-CN"/>
                    </w:rPr>
                    <w:t>单元：</w:t>
                  </w:r>
                  <w:r>
                    <w:rPr>
                      <w:rFonts w:hint="default" w:ascii="Times New Roman" w:hAnsi="Times New Roman" w:eastAsia="宋体" w:cs="Times New Roman"/>
                      <w:b w:val="0"/>
                      <w:bCs w:val="0"/>
                      <w:color w:val="auto"/>
                      <w:sz w:val="21"/>
                      <w:szCs w:val="21"/>
                      <w:highlight w:val="none"/>
                      <w:lang w:val="en-US" w:eastAsia="zh-CN"/>
                    </w:rPr>
                    <w:t>重点从加强空间布局约束，提出正面清单、禁入或限入要求和退出方案。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continue"/>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lang w:val="en-US" w:eastAsia="zh-CN" w:bidi="ar-SA"/>
                    </w:rPr>
                  </w:pPr>
                </w:p>
              </w:tc>
              <w:tc>
                <w:tcPr>
                  <w:tcW w:w="264"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分维度要求</w:t>
                  </w:r>
                </w:p>
              </w:tc>
              <w:tc>
                <w:tcPr>
                  <w:tcW w:w="2217"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空间布局约束：</w:t>
                  </w:r>
                  <w:r>
                    <w:rPr>
                      <w:rFonts w:hint="default" w:ascii="Times New Roman" w:hAnsi="Times New Roman" w:eastAsia="宋体" w:cs="Times New Roman"/>
                      <w:color w:val="auto"/>
                      <w:sz w:val="21"/>
                      <w:szCs w:val="21"/>
                      <w:highlight w:val="none"/>
                      <w:lang w:val="en-US" w:eastAsia="zh-CN"/>
                    </w:rPr>
                    <w:t>对于优先保护区，着重从允许开发建设活动、不符合空间布局要求活动的退出方案等两个方面提出空间布局约束要求。对于重点管控区，着重从禁止和限制开发建设活动的要求、不符合空间布局要求活动的退出方案等两个方面提出空间布局约束要求。对于一般管控区，可参照优先保护区或重点管控区提出空间布局约束方面的一般性要求。</w:t>
                  </w:r>
                </w:p>
              </w:tc>
              <w:tc>
                <w:tcPr>
                  <w:tcW w:w="1640" w:type="pct"/>
                  <w:noWrap w:val="0"/>
                  <w:vAlign w:val="center"/>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本项目为</w:t>
                  </w:r>
                  <w:r>
                    <w:rPr>
                      <w:rFonts w:hint="eastAsia" w:cs="Times New Roman"/>
                      <w:b w:val="0"/>
                      <w:bCs w:val="0"/>
                      <w:color w:val="auto"/>
                      <w:sz w:val="21"/>
                      <w:szCs w:val="21"/>
                      <w:highlight w:val="none"/>
                      <w:lang w:val="en-US" w:eastAsia="zh-CN"/>
                    </w:rPr>
                    <w:t>农产品基地建设项目</w:t>
                  </w:r>
                  <w:r>
                    <w:rPr>
                      <w:rFonts w:hint="default" w:ascii="Times New Roman" w:hAnsi="Times New Roman" w:cs="Times New Roman"/>
                      <w:b w:val="0"/>
                      <w:bCs w:val="0"/>
                      <w:color w:val="auto"/>
                      <w:sz w:val="21"/>
                      <w:szCs w:val="21"/>
                      <w:highlight w:val="none"/>
                      <w:lang w:val="en-US" w:eastAsia="zh-CN"/>
                    </w:rPr>
                    <w:t>，属于《产业结构调整指导目录(2024年本)》中</w:t>
                  </w:r>
                  <w:r>
                    <w:rPr>
                      <w:rFonts w:hint="eastAsia" w:cs="Times New Roman"/>
                      <w:b w:val="0"/>
                      <w:bCs w:val="0"/>
                      <w:color w:val="auto"/>
                      <w:sz w:val="21"/>
                      <w:szCs w:val="21"/>
                      <w:highlight w:val="none"/>
                      <w:lang w:val="en-US" w:eastAsia="zh-CN"/>
                    </w:rPr>
                    <w:t>鼓励</w:t>
                  </w:r>
                  <w:r>
                    <w:rPr>
                      <w:rFonts w:hint="default" w:ascii="Times New Roman" w:hAnsi="Times New Roman" w:cs="Times New Roman"/>
                      <w:b w:val="0"/>
                      <w:bCs w:val="0"/>
                      <w:color w:val="auto"/>
                      <w:sz w:val="21"/>
                      <w:szCs w:val="21"/>
                      <w:highlight w:val="none"/>
                      <w:lang w:val="en-US" w:eastAsia="zh-CN"/>
                    </w:rPr>
                    <w:t>类项目，</w:t>
                  </w:r>
                  <w:r>
                    <w:rPr>
                      <w:rFonts w:hint="default" w:ascii="Times New Roman" w:hAnsi="Times New Roman" w:eastAsia="宋体" w:cs="Times New Roman"/>
                      <w:color w:val="auto"/>
                      <w:sz w:val="21"/>
                      <w:szCs w:val="21"/>
                      <w:highlight w:val="none"/>
                      <w:lang w:val="en-US" w:eastAsia="zh-CN"/>
                    </w:rPr>
                    <w:t>符合空间布局要求</w:t>
                  </w:r>
                  <w:r>
                    <w:rPr>
                      <w:rFonts w:hint="default" w:ascii="Times New Roman" w:hAnsi="Times New Roman" w:cs="Times New Roman"/>
                      <w:color w:val="auto"/>
                      <w:sz w:val="21"/>
                      <w:szCs w:val="21"/>
                      <w:highlight w:val="none"/>
                      <w:lang w:val="en-US" w:eastAsia="zh-CN"/>
                    </w:rPr>
                    <w:t>。</w:t>
                  </w:r>
                </w:p>
              </w:tc>
              <w:tc>
                <w:tcPr>
                  <w:tcW w:w="435"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continue"/>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p>
              </w:tc>
              <w:tc>
                <w:tcPr>
                  <w:tcW w:w="264"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2217"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lang w:val="en-US" w:eastAsia="zh-CN"/>
                    </w:rPr>
                    <w:t>污染排放控制：</w:t>
                  </w:r>
                  <w:r>
                    <w:rPr>
                      <w:rFonts w:hint="default" w:ascii="Times New Roman" w:hAnsi="Times New Roman" w:cs="Times New Roman"/>
                      <w:color w:val="auto"/>
                      <w:sz w:val="21"/>
                      <w:szCs w:val="21"/>
                      <w:highlight w:val="none"/>
                      <w:lang w:val="en-US" w:eastAsia="zh-CN"/>
                    </w:rPr>
                    <w:t>对于重点管控区，着重从污染物达标排放、现有源排放削减、新增源倍量替代、排放标准加严等方面提出污染物排放管控要求。对一般管控区，可参照重点管控区提出一般性污染物排放管控要求。</w:t>
                  </w:r>
                </w:p>
              </w:tc>
              <w:tc>
                <w:tcPr>
                  <w:tcW w:w="1640" w:type="pct"/>
                  <w:noWrap w:val="0"/>
                  <w:vAlign w:val="center"/>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由</w:t>
                  </w:r>
                  <w:r>
                    <w:rPr>
                      <w:rFonts w:hint="eastAsia" w:cs="Times New Roman"/>
                      <w:color w:val="auto"/>
                      <w:sz w:val="21"/>
                      <w:szCs w:val="21"/>
                      <w:highlight w:val="none"/>
                      <w:lang w:val="en-US" w:eastAsia="zh-CN"/>
                    </w:rPr>
                    <w:t>施工期及</w:t>
                  </w:r>
                  <w:r>
                    <w:rPr>
                      <w:rFonts w:hint="default" w:ascii="Times New Roman" w:hAnsi="Times New Roman" w:cs="Times New Roman"/>
                      <w:color w:val="auto"/>
                      <w:sz w:val="21"/>
                      <w:szCs w:val="21"/>
                      <w:highlight w:val="none"/>
                      <w:lang w:val="en-US" w:eastAsia="zh-CN"/>
                    </w:rPr>
                    <w:t>运营期环境影响和保护措施</w:t>
                  </w:r>
                  <w:r>
                    <w:rPr>
                      <w:rFonts w:hint="eastAsia" w:cs="Times New Roman"/>
                      <w:color w:val="auto"/>
                      <w:sz w:val="21"/>
                      <w:szCs w:val="21"/>
                      <w:highlight w:val="none"/>
                      <w:lang w:val="en-US" w:eastAsia="zh-CN"/>
                    </w:rPr>
                    <w:t>章</w:t>
                  </w:r>
                  <w:r>
                    <w:rPr>
                      <w:rFonts w:hint="default" w:ascii="Times New Roman" w:hAnsi="Times New Roman" w:cs="Times New Roman"/>
                      <w:color w:val="auto"/>
                      <w:sz w:val="21"/>
                      <w:szCs w:val="21"/>
                      <w:highlight w:val="none"/>
                      <w:lang w:val="en-US" w:eastAsia="zh-CN"/>
                    </w:rPr>
                    <w:t>节分析可知，本项目建设完成后，各项污染物在采取相应的处置措施后，均可达标排放。</w:t>
                  </w:r>
                </w:p>
              </w:tc>
              <w:tc>
                <w:tcPr>
                  <w:tcW w:w="435"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continue"/>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p>
              </w:tc>
              <w:tc>
                <w:tcPr>
                  <w:tcW w:w="264"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auto"/>
                      <w:kern w:val="2"/>
                      <w:sz w:val="21"/>
                      <w:szCs w:val="21"/>
                      <w:highlight w:val="none"/>
                      <w:lang w:val="en-US" w:eastAsia="zh-CN" w:bidi="ar-SA"/>
                    </w:rPr>
                  </w:pPr>
                </w:p>
              </w:tc>
              <w:tc>
                <w:tcPr>
                  <w:tcW w:w="2217"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lang w:val="en-US" w:eastAsia="zh-CN"/>
                    </w:rPr>
                    <w:t>环境风险防控：</w:t>
                  </w:r>
                  <w:r>
                    <w:rPr>
                      <w:rFonts w:hint="default" w:ascii="Times New Roman" w:hAnsi="Times New Roman" w:cs="Times New Roman"/>
                      <w:color w:val="auto"/>
                      <w:sz w:val="21"/>
                      <w:szCs w:val="21"/>
                      <w:highlight w:val="none"/>
                      <w:lang w:val="en-US" w:eastAsia="zh-CN"/>
                    </w:rPr>
                    <w:t>对于各类优先保护区，着重从有毒有害污染物和易燃易爆物质风险防控等方面提出禁止准入的要求。对于重点管控区，着重从土地用途管控、有毒有害污染物和易燃易爆物质风险防控等方面提出环境风险防控要求。对于一般管控区，可参照优先保护区、重点管控区提出一般性环境风险防控要求。</w:t>
                  </w:r>
                </w:p>
              </w:tc>
              <w:tc>
                <w:tcPr>
                  <w:tcW w:w="1640" w:type="pct"/>
                  <w:noWrap w:val="0"/>
                  <w:vAlign w:val="center"/>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由工程分析可知，本项目</w:t>
                  </w:r>
                  <w:r>
                    <w:rPr>
                      <w:rFonts w:hint="eastAsia" w:cs="Times New Roman"/>
                      <w:b w:val="0"/>
                      <w:bCs w:val="0"/>
                      <w:color w:val="auto"/>
                      <w:kern w:val="2"/>
                      <w:sz w:val="21"/>
                      <w:szCs w:val="21"/>
                      <w:highlight w:val="none"/>
                      <w:lang w:val="en-US" w:eastAsia="zh-CN" w:bidi="ar-SA"/>
                    </w:rPr>
                    <w:t>项目运行过程中无危险废物产生</w:t>
                  </w:r>
                  <w:r>
                    <w:rPr>
                      <w:rFonts w:hint="default" w:ascii="Times New Roman" w:hAnsi="Times New Roman" w:cs="Times New Roman"/>
                      <w:b w:val="0"/>
                      <w:bCs w:val="0"/>
                      <w:color w:val="auto"/>
                      <w:kern w:val="2"/>
                      <w:sz w:val="21"/>
                      <w:szCs w:val="21"/>
                      <w:highlight w:val="none"/>
                      <w:lang w:val="en-US" w:eastAsia="zh-CN" w:bidi="ar-SA"/>
                    </w:rPr>
                    <w:t>，项目通过采取环境风险措施，对周围环境影响可防可控。</w:t>
                  </w:r>
                </w:p>
              </w:tc>
              <w:tc>
                <w:tcPr>
                  <w:tcW w:w="435"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continue"/>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p>
              </w:tc>
              <w:tc>
                <w:tcPr>
                  <w:tcW w:w="264"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b/>
                      <w:bCs/>
                      <w:color w:val="auto"/>
                      <w:kern w:val="2"/>
                      <w:sz w:val="21"/>
                      <w:szCs w:val="21"/>
                      <w:highlight w:val="none"/>
                      <w:lang w:val="en-US" w:eastAsia="zh-CN" w:bidi="ar-SA"/>
                    </w:rPr>
                  </w:pPr>
                </w:p>
              </w:tc>
              <w:tc>
                <w:tcPr>
                  <w:tcW w:w="2217"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资源开发效率要求：</w:t>
                  </w:r>
                  <w:r>
                    <w:rPr>
                      <w:rFonts w:hint="default" w:ascii="Times New Roman" w:hAnsi="Times New Roman" w:eastAsia="宋体" w:cs="Times New Roman"/>
                      <w:color w:val="auto"/>
                      <w:sz w:val="21"/>
                      <w:szCs w:val="21"/>
                      <w:highlight w:val="none"/>
                      <w:lang w:val="en-US" w:eastAsia="zh-CN"/>
                    </w:rPr>
                    <w:t>对于重点管控区，着重从水资源开发效率、禁燃区要求等方面提出资源开发效率要求。对于一般管控区，可参照重点管控区提出一般性资源开发效率要求。</w:t>
                  </w:r>
                </w:p>
              </w:tc>
              <w:tc>
                <w:tcPr>
                  <w:tcW w:w="1640" w:type="pct"/>
                  <w:noWrap w:val="0"/>
                  <w:vAlign w:val="center"/>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本项目为</w:t>
                  </w:r>
                  <w:r>
                    <w:rPr>
                      <w:rFonts w:hint="eastAsia" w:cs="Times New Roman"/>
                      <w:color w:val="auto"/>
                      <w:sz w:val="21"/>
                      <w:szCs w:val="21"/>
                      <w:highlight w:val="none"/>
                      <w:lang w:val="en-US" w:eastAsia="zh-CN"/>
                    </w:rPr>
                    <w:t>农产品基地建设项目</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不涉及燃料使用。</w:t>
                  </w:r>
                </w:p>
              </w:tc>
              <w:tc>
                <w:tcPr>
                  <w:tcW w:w="435" w:type="pct"/>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restart"/>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b/>
                      <w:bCs/>
                      <w:color w:val="auto"/>
                      <w:sz w:val="21"/>
                      <w:szCs w:val="21"/>
                      <w:highlight w:val="none"/>
                      <w:lang w:val="en-US" w:eastAsia="zh-CN"/>
                    </w:rPr>
                    <w:t>清单内容</w:t>
                  </w:r>
                </w:p>
              </w:tc>
              <w:tc>
                <w:tcPr>
                  <w:tcW w:w="4558" w:type="pct"/>
                  <w:gridSpan w:val="4"/>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r>
                    <w:rPr>
                      <w:rFonts w:hint="eastAsia" w:cs="Times New Roman"/>
                      <w:b/>
                      <w:bCs/>
                      <w:color w:val="auto"/>
                      <w:sz w:val="21"/>
                      <w:szCs w:val="21"/>
                      <w:highlight w:val="none"/>
                      <w:lang w:val="en-US" w:eastAsia="zh-CN"/>
                    </w:rPr>
                    <w:t>重点管控</w:t>
                  </w:r>
                  <w:r>
                    <w:rPr>
                      <w:rFonts w:hint="default" w:ascii="Times New Roman" w:hAnsi="Times New Roman" w:eastAsia="宋体" w:cs="Times New Roman"/>
                      <w:b/>
                      <w:bCs/>
                      <w:color w:val="auto"/>
                      <w:sz w:val="21"/>
                      <w:szCs w:val="21"/>
                      <w:highlight w:val="none"/>
                      <w:lang w:val="en-US" w:eastAsia="zh-CN"/>
                    </w:rPr>
                    <w:t>单元：</w:t>
                  </w:r>
                  <w:r>
                    <w:rPr>
                      <w:rFonts w:hint="default" w:ascii="Times New Roman" w:hAnsi="Times New Roman" w:eastAsia="宋体" w:cs="Times New Roman"/>
                      <w:b w:val="0"/>
                      <w:bCs w:val="0"/>
                      <w:color w:val="auto"/>
                      <w:sz w:val="21"/>
                      <w:szCs w:val="21"/>
                      <w:highlight w:val="none"/>
                      <w:lang w:val="en-US" w:eastAsia="zh-CN"/>
                    </w:rPr>
                    <w:t>重点从加强污染物排放管控、环境风险防控和资源开发利用效率等方面，重点提出水、大气污染防治措施、土壤污染风险防控措施和治理修复要求、水资源、土地资源和能源利用总量和效率控制要求等。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continue"/>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p>
              </w:tc>
              <w:tc>
                <w:tcPr>
                  <w:tcW w:w="264"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分维度要求</w:t>
                  </w:r>
                </w:p>
              </w:tc>
              <w:tc>
                <w:tcPr>
                  <w:tcW w:w="0" w:type="auto"/>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空间布局约束：</w:t>
                  </w:r>
                  <w:r>
                    <w:rPr>
                      <w:rFonts w:hint="default" w:ascii="Times New Roman" w:hAnsi="Times New Roman" w:eastAsia="宋体" w:cs="Times New Roman"/>
                      <w:b w:val="0"/>
                      <w:bCs w:val="0"/>
                      <w:color w:val="auto"/>
                      <w:sz w:val="21"/>
                      <w:szCs w:val="21"/>
                      <w:highlight w:val="none"/>
                      <w:lang w:val="en-US" w:eastAsia="zh-CN"/>
                    </w:rPr>
                    <w:t>对于重点管控区，着重从禁止和限制开发建设活动的要求</w:t>
                  </w:r>
                  <w:r>
                    <w:rPr>
                      <w:rFonts w:hint="eastAsia"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不符合空间布局要求活动的退出方案等两个方面提出空间布局约束要求</w:t>
                  </w:r>
                </w:p>
              </w:tc>
              <w:tc>
                <w:tcPr>
                  <w:tcW w:w="0" w:type="auto"/>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本项目为</w:t>
                  </w:r>
                  <w:r>
                    <w:rPr>
                      <w:rFonts w:hint="eastAsia" w:cs="Times New Roman"/>
                      <w:b w:val="0"/>
                      <w:bCs w:val="0"/>
                      <w:color w:val="auto"/>
                      <w:sz w:val="21"/>
                      <w:szCs w:val="21"/>
                      <w:highlight w:val="none"/>
                      <w:lang w:val="en-US" w:eastAsia="zh-CN"/>
                    </w:rPr>
                    <w:t>农产品基地建设项目</w:t>
                  </w:r>
                  <w:r>
                    <w:rPr>
                      <w:rFonts w:hint="default" w:ascii="Times New Roman" w:hAnsi="Times New Roman" w:cs="Times New Roman"/>
                      <w:b w:val="0"/>
                      <w:bCs w:val="0"/>
                      <w:color w:val="auto"/>
                      <w:sz w:val="21"/>
                      <w:szCs w:val="21"/>
                      <w:highlight w:val="none"/>
                      <w:lang w:val="en-US" w:eastAsia="zh-CN"/>
                    </w:rPr>
                    <w:t>，属于《产业结构调整指导目录》(2024年本)中</w:t>
                  </w:r>
                  <w:r>
                    <w:rPr>
                      <w:rFonts w:hint="eastAsia" w:cs="Times New Roman"/>
                      <w:b w:val="0"/>
                      <w:bCs w:val="0"/>
                      <w:color w:val="auto"/>
                      <w:sz w:val="21"/>
                      <w:szCs w:val="21"/>
                      <w:highlight w:val="none"/>
                      <w:lang w:val="en-US" w:eastAsia="zh-CN"/>
                    </w:rPr>
                    <w:t>鼓励</w:t>
                  </w:r>
                  <w:r>
                    <w:rPr>
                      <w:rFonts w:hint="default" w:ascii="Times New Roman" w:hAnsi="Times New Roman" w:cs="Times New Roman"/>
                      <w:b w:val="0"/>
                      <w:bCs w:val="0"/>
                      <w:color w:val="auto"/>
                      <w:sz w:val="21"/>
                      <w:szCs w:val="21"/>
                      <w:highlight w:val="none"/>
                      <w:lang w:val="en-US" w:eastAsia="zh-CN"/>
                    </w:rPr>
                    <w:t>类项目，</w:t>
                  </w:r>
                  <w:r>
                    <w:rPr>
                      <w:rFonts w:hint="default" w:ascii="Times New Roman" w:hAnsi="Times New Roman" w:eastAsia="宋体" w:cs="Times New Roman"/>
                      <w:color w:val="auto"/>
                      <w:sz w:val="21"/>
                      <w:szCs w:val="21"/>
                      <w:highlight w:val="none"/>
                      <w:lang w:val="en-US" w:eastAsia="zh-CN"/>
                    </w:rPr>
                    <w:t>符合空间布局要求</w:t>
                  </w:r>
                  <w:r>
                    <w:rPr>
                      <w:rFonts w:hint="default" w:ascii="Times New Roman" w:hAnsi="Times New Roman" w:cs="Times New Roman"/>
                      <w:color w:val="auto"/>
                      <w:sz w:val="21"/>
                      <w:szCs w:val="21"/>
                      <w:highlight w:val="none"/>
                      <w:lang w:val="en-US" w:eastAsia="zh-CN"/>
                    </w:rPr>
                    <w:t>。</w:t>
                  </w:r>
                </w:p>
              </w:tc>
              <w:tc>
                <w:tcPr>
                  <w:tcW w:w="0" w:type="auto"/>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continue"/>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p>
              </w:tc>
              <w:tc>
                <w:tcPr>
                  <w:tcW w:w="264" w:type="pct"/>
                  <w:vMerge w:val="continue"/>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b/>
                      <w:bCs/>
                      <w:color w:val="auto"/>
                      <w:kern w:val="2"/>
                      <w:sz w:val="21"/>
                      <w:szCs w:val="21"/>
                      <w:highlight w:val="none"/>
                      <w:lang w:val="en-US" w:eastAsia="zh-CN" w:bidi="ar-SA"/>
                    </w:rPr>
                  </w:pPr>
                </w:p>
              </w:tc>
              <w:tc>
                <w:tcPr>
                  <w:tcW w:w="0" w:type="auto"/>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lang w:val="en-US" w:eastAsia="zh-CN"/>
                    </w:rPr>
                    <w:t>污染排放控制：</w:t>
                  </w:r>
                  <w:r>
                    <w:rPr>
                      <w:rFonts w:hint="default" w:ascii="Times New Roman" w:hAnsi="Times New Roman" w:cs="Times New Roman"/>
                      <w:color w:val="auto"/>
                      <w:sz w:val="21"/>
                      <w:szCs w:val="21"/>
                      <w:highlight w:val="none"/>
                      <w:lang w:val="en-US" w:eastAsia="zh-CN"/>
                    </w:rPr>
                    <w:t>对于重点管控区，着重从污染物达标排放、现有源排放削减、新增源倍量替代、排放标准加严等方面提出污染物排放管控要求。对一般管控区，可参照重点管控区提出一般性污染物排放管控要求。</w:t>
                  </w:r>
                </w:p>
              </w:tc>
              <w:tc>
                <w:tcPr>
                  <w:tcW w:w="0" w:type="auto"/>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由</w:t>
                  </w:r>
                  <w:r>
                    <w:rPr>
                      <w:rFonts w:hint="eastAsia" w:cs="Times New Roman"/>
                      <w:color w:val="auto"/>
                      <w:sz w:val="21"/>
                      <w:szCs w:val="21"/>
                      <w:highlight w:val="none"/>
                      <w:lang w:val="en-US" w:eastAsia="zh-CN"/>
                    </w:rPr>
                    <w:t>施工期及</w:t>
                  </w:r>
                  <w:r>
                    <w:rPr>
                      <w:rFonts w:hint="default" w:ascii="Times New Roman" w:hAnsi="Times New Roman" w:cs="Times New Roman"/>
                      <w:color w:val="auto"/>
                      <w:sz w:val="21"/>
                      <w:szCs w:val="21"/>
                      <w:highlight w:val="none"/>
                      <w:lang w:val="en-US" w:eastAsia="zh-CN"/>
                    </w:rPr>
                    <w:t>运营期环境影响和保护措施</w:t>
                  </w:r>
                  <w:r>
                    <w:rPr>
                      <w:rFonts w:hint="eastAsia" w:cs="Times New Roman"/>
                      <w:color w:val="auto"/>
                      <w:sz w:val="21"/>
                      <w:szCs w:val="21"/>
                      <w:highlight w:val="none"/>
                      <w:lang w:val="en-US" w:eastAsia="zh-CN"/>
                    </w:rPr>
                    <w:t>章</w:t>
                  </w:r>
                  <w:r>
                    <w:rPr>
                      <w:rFonts w:hint="default" w:ascii="Times New Roman" w:hAnsi="Times New Roman" w:cs="Times New Roman"/>
                      <w:color w:val="auto"/>
                      <w:sz w:val="21"/>
                      <w:szCs w:val="21"/>
                      <w:highlight w:val="none"/>
                      <w:lang w:val="en-US" w:eastAsia="zh-CN"/>
                    </w:rPr>
                    <w:t>节分析可知，本项目建设完成后，各项污染物在采取相应的处置措施后，均可达标排放。</w:t>
                  </w:r>
                </w:p>
              </w:tc>
              <w:tc>
                <w:tcPr>
                  <w:tcW w:w="0" w:type="auto"/>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continue"/>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p>
              </w:tc>
              <w:tc>
                <w:tcPr>
                  <w:tcW w:w="264" w:type="pct"/>
                  <w:vMerge w:val="continue"/>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b/>
                      <w:bCs/>
                      <w:color w:val="auto"/>
                      <w:kern w:val="2"/>
                      <w:sz w:val="21"/>
                      <w:szCs w:val="21"/>
                      <w:highlight w:val="none"/>
                      <w:lang w:val="en-US" w:eastAsia="zh-CN" w:bidi="ar-SA"/>
                    </w:rPr>
                  </w:pPr>
                </w:p>
              </w:tc>
              <w:tc>
                <w:tcPr>
                  <w:tcW w:w="0" w:type="auto"/>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lang w:val="en-US" w:eastAsia="zh-CN"/>
                    </w:rPr>
                    <w:t>环境风险防控：</w:t>
                  </w:r>
                  <w:r>
                    <w:rPr>
                      <w:rFonts w:hint="default" w:ascii="Times New Roman" w:hAnsi="Times New Roman" w:cs="Times New Roman"/>
                      <w:b w:val="0"/>
                      <w:bCs w:val="0"/>
                      <w:color w:val="auto"/>
                      <w:sz w:val="21"/>
                      <w:szCs w:val="21"/>
                      <w:highlight w:val="none"/>
                      <w:lang w:val="en-US" w:eastAsia="zh-CN"/>
                    </w:rPr>
                    <w:t>对于重点管控区，着重从土地用途管控、有毒有害污染物和易燃易爆物质风险防控等方面提出环境风险防控要求。</w:t>
                  </w:r>
                </w:p>
              </w:tc>
              <w:tc>
                <w:tcPr>
                  <w:tcW w:w="0" w:type="auto"/>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由工程分析可知，本项目</w:t>
                  </w:r>
                  <w:r>
                    <w:rPr>
                      <w:rFonts w:hint="eastAsia" w:cs="Times New Roman"/>
                      <w:b w:val="0"/>
                      <w:bCs w:val="0"/>
                      <w:color w:val="auto"/>
                      <w:kern w:val="2"/>
                      <w:sz w:val="21"/>
                      <w:szCs w:val="21"/>
                      <w:highlight w:val="none"/>
                      <w:lang w:val="en-US" w:eastAsia="zh-CN" w:bidi="ar-SA"/>
                    </w:rPr>
                    <w:t>项目运行过程中无危险废物产生</w:t>
                  </w:r>
                  <w:r>
                    <w:rPr>
                      <w:rFonts w:hint="default" w:ascii="Times New Roman" w:hAnsi="Times New Roman" w:cs="Times New Roman"/>
                      <w:b w:val="0"/>
                      <w:bCs w:val="0"/>
                      <w:color w:val="auto"/>
                      <w:kern w:val="2"/>
                      <w:sz w:val="21"/>
                      <w:szCs w:val="21"/>
                      <w:highlight w:val="none"/>
                      <w:lang w:val="en-US" w:eastAsia="zh-CN" w:bidi="ar-SA"/>
                    </w:rPr>
                    <w:t>，项目通过采取环境风险措施，对周围环境影响可防可控。</w:t>
                  </w:r>
                </w:p>
              </w:tc>
              <w:tc>
                <w:tcPr>
                  <w:tcW w:w="0" w:type="auto"/>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1" w:type="pct"/>
                  <w:vMerge w:val="continue"/>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1"/>
                      <w:szCs w:val="21"/>
                    </w:rPr>
                  </w:pPr>
                </w:p>
              </w:tc>
              <w:tc>
                <w:tcPr>
                  <w:tcW w:w="264" w:type="pct"/>
                  <w:vMerge w:val="continue"/>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b/>
                      <w:bCs/>
                      <w:color w:val="auto"/>
                      <w:kern w:val="2"/>
                      <w:sz w:val="21"/>
                      <w:szCs w:val="21"/>
                      <w:highlight w:val="none"/>
                      <w:lang w:val="en-US" w:eastAsia="zh-CN" w:bidi="ar-SA"/>
                    </w:rPr>
                  </w:pPr>
                </w:p>
              </w:tc>
              <w:tc>
                <w:tcPr>
                  <w:tcW w:w="0" w:type="auto"/>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资源开发效率要求：</w:t>
                  </w:r>
                  <w:r>
                    <w:rPr>
                      <w:rFonts w:hint="default" w:ascii="Times New Roman" w:hAnsi="Times New Roman" w:eastAsia="宋体" w:cs="Times New Roman"/>
                      <w:color w:val="auto"/>
                      <w:sz w:val="21"/>
                      <w:szCs w:val="21"/>
                      <w:highlight w:val="none"/>
                      <w:lang w:val="en-US" w:eastAsia="zh-CN"/>
                    </w:rPr>
                    <w:t>对于重点管控区，着重从水资源开发效率、禁燃区要求等方面提出资源开发效率要求。对于一般管控区，可参照重点管控区提出一般性资源开发效率要求。</w:t>
                  </w:r>
                </w:p>
              </w:tc>
              <w:tc>
                <w:tcPr>
                  <w:tcW w:w="0" w:type="auto"/>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本项目为</w:t>
                  </w:r>
                  <w:r>
                    <w:rPr>
                      <w:rFonts w:hint="eastAsia" w:cs="Times New Roman"/>
                      <w:color w:val="auto"/>
                      <w:sz w:val="21"/>
                      <w:szCs w:val="21"/>
                      <w:highlight w:val="none"/>
                      <w:lang w:val="en-US" w:eastAsia="zh-CN"/>
                    </w:rPr>
                    <w:t>农产品基地建设项目</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不涉及燃料使用。</w:t>
                  </w:r>
                </w:p>
              </w:tc>
              <w:tc>
                <w:tcPr>
                  <w:tcW w:w="0" w:type="auto"/>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rPr>
                    <w:t>符合</w:t>
                  </w:r>
                </w:p>
              </w:tc>
            </w:tr>
          </w:tbl>
          <w:p>
            <w:pPr>
              <w:autoSpaceDE w:val="0"/>
              <w:autoSpaceDN w:val="0"/>
              <w:adjustRightInd w:val="0"/>
              <w:snapToGrid w:val="0"/>
              <w:spacing w:before="0" w:after="0" w:line="360" w:lineRule="auto"/>
              <w:ind w:right="0"/>
              <w:rPr>
                <w:rFonts w:hint="default" w:ascii="Times New Roman" w:hAnsi="Times New Roman" w:eastAsia="仿宋_GB2312" w:cs="Times New Roman"/>
                <w:b/>
                <w:bCs w:val="0"/>
                <w:color w:val="auto"/>
                <w:spacing w:val="0"/>
                <w:kern w:val="0"/>
                <w:sz w:val="24"/>
                <w:szCs w:val="24"/>
                <w:lang w:val="en-US" w:eastAsia="zh-CN" w:bidi="ar-SA"/>
              </w:rPr>
            </w:pPr>
            <w:r>
              <w:rPr>
                <w:rFonts w:hint="default" w:ascii="Times New Roman" w:hAnsi="Times New Roman" w:eastAsia="仿宋_GB2312" w:cs="Times New Roman"/>
                <w:b/>
                <w:bCs w:val="0"/>
                <w:color w:val="auto"/>
                <w:spacing w:val="0"/>
                <w:kern w:val="0"/>
                <w:sz w:val="24"/>
                <w:szCs w:val="24"/>
                <w:lang w:val="en-US" w:eastAsia="zh-CN" w:bidi="ar-SA"/>
              </w:rPr>
              <w:t>1.2与“固原市生态环境准入清单”符合性</w:t>
            </w:r>
          </w:p>
          <w:p>
            <w:pPr>
              <w:autoSpaceDE w:val="0"/>
              <w:autoSpaceDN w:val="0"/>
              <w:adjustRightInd w:val="0"/>
              <w:snapToGrid w:val="0"/>
              <w:spacing w:before="0" w:after="0" w:line="360" w:lineRule="auto"/>
              <w:ind w:left="0" w:right="0" w:firstLine="480" w:firstLineChars="200"/>
              <w:rPr>
                <w:rFonts w:hint="default" w:ascii="Times New Roman" w:hAnsi="Times New Roman" w:eastAsia="仿宋_GB2312" w:cs="Times New Roman"/>
                <w:b w:val="0"/>
                <w:bCs/>
                <w:color w:val="auto"/>
                <w:spacing w:val="0"/>
                <w:kern w:val="0"/>
                <w:sz w:val="24"/>
                <w:szCs w:val="24"/>
                <w:lang w:val="en-US" w:eastAsia="zh-CN" w:bidi="ar-SA"/>
              </w:rPr>
            </w:pPr>
            <w:r>
              <w:rPr>
                <w:rFonts w:hint="default" w:ascii="Times New Roman" w:hAnsi="Times New Roman" w:eastAsia="仿宋_GB2312" w:cs="Times New Roman"/>
                <w:b w:val="0"/>
                <w:bCs/>
                <w:color w:val="auto"/>
                <w:spacing w:val="0"/>
                <w:kern w:val="0"/>
                <w:sz w:val="24"/>
                <w:szCs w:val="24"/>
                <w:lang w:val="en-US" w:eastAsia="zh-CN" w:bidi="ar-SA"/>
              </w:rPr>
              <w:t>根据《固原市生态环境分区管控实施方案》（固政发[2024]28号）中附件，本项目与固原市生态环境准入清单总体要求符合性分析见表</w:t>
            </w:r>
            <w:r>
              <w:rPr>
                <w:rFonts w:hint="eastAsia" w:eastAsia="仿宋_GB2312" w:cs="Times New Roman"/>
                <w:b w:val="0"/>
                <w:bCs/>
                <w:color w:val="auto"/>
                <w:spacing w:val="0"/>
                <w:kern w:val="0"/>
                <w:sz w:val="24"/>
                <w:szCs w:val="24"/>
                <w:lang w:val="en-US" w:eastAsia="zh-CN" w:bidi="ar-SA"/>
              </w:rPr>
              <w:t>2</w:t>
            </w:r>
            <w:r>
              <w:rPr>
                <w:rFonts w:hint="default" w:ascii="Times New Roman" w:hAnsi="Times New Roman" w:eastAsia="仿宋_GB2312" w:cs="Times New Roman"/>
                <w:b w:val="0"/>
                <w:bCs/>
                <w:color w:val="auto"/>
                <w:spacing w:val="0"/>
                <w:kern w:val="0"/>
                <w:sz w:val="24"/>
                <w:szCs w:val="24"/>
                <w:lang w:val="en-US" w:eastAsia="zh-CN" w:bidi="ar-SA"/>
              </w:rPr>
              <w:t>，与固原市环境管控单元生态环境准入清单符合性分析见表</w:t>
            </w:r>
            <w:r>
              <w:rPr>
                <w:rFonts w:hint="eastAsia" w:eastAsia="仿宋_GB2312" w:cs="Times New Roman"/>
                <w:b w:val="0"/>
                <w:bCs/>
                <w:color w:val="auto"/>
                <w:spacing w:val="0"/>
                <w:kern w:val="0"/>
                <w:sz w:val="24"/>
                <w:szCs w:val="24"/>
                <w:lang w:val="en-US" w:eastAsia="zh-CN" w:bidi="ar-SA"/>
              </w:rPr>
              <w:t>3</w:t>
            </w:r>
            <w:r>
              <w:rPr>
                <w:rFonts w:hint="default" w:ascii="Times New Roman" w:hAnsi="Times New Roman" w:eastAsia="仿宋_GB2312" w:cs="Times New Roman"/>
                <w:b w:val="0"/>
                <w:bCs/>
                <w:color w:val="auto"/>
                <w:spacing w:val="0"/>
                <w:kern w:val="0"/>
                <w:sz w:val="24"/>
                <w:szCs w:val="24"/>
                <w:lang w:val="en-US" w:eastAsia="zh-CN" w:bidi="ar-SA"/>
              </w:rPr>
              <w:t>。</w:t>
            </w:r>
          </w:p>
          <w:p>
            <w:pPr>
              <w:adjustRightInd w:val="0"/>
              <w:ind w:firstLine="481"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 xml:space="preserve"> </w:t>
            </w:r>
            <w:r>
              <w:rPr>
                <w:rFonts w:hint="eastAsia" w:ascii="Times New Roman" w:hAnsi="Times New Roman"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lang w:val="en-US" w:eastAsia="zh-CN"/>
              </w:rPr>
              <w:t xml:space="preserve"> 固原市生态环境总体准入要求</w:t>
            </w:r>
          </w:p>
          <w:tbl>
            <w:tblPr>
              <w:tblStyle w:val="35"/>
              <w:tblW w:w="499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17"/>
              <w:gridCol w:w="668"/>
              <w:gridCol w:w="3620"/>
              <w:gridCol w:w="2829"/>
              <w:gridCol w:w="6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714" w:type="pct"/>
                  <w:gridSpan w:val="2"/>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管控维度</w:t>
                  </w:r>
                </w:p>
              </w:tc>
              <w:tc>
                <w:tcPr>
                  <w:tcW w:w="2186"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准入要求</w:t>
                  </w:r>
                </w:p>
              </w:tc>
              <w:tc>
                <w:tcPr>
                  <w:tcW w:w="1708"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本项目</w:t>
                  </w:r>
                </w:p>
              </w:tc>
              <w:tc>
                <w:tcPr>
                  <w:tcW w:w="390"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57" w:hRule="atLeast"/>
                <w:jc w:val="center"/>
              </w:trPr>
              <w:tc>
                <w:tcPr>
                  <w:tcW w:w="311" w:type="pct"/>
                  <w:vMerge w:val="restar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A1</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空间布局约束</w:t>
                  </w:r>
                </w:p>
              </w:tc>
              <w:tc>
                <w:tcPr>
                  <w:tcW w:w="402" w:type="pct"/>
                  <w:vMerge w:val="restar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A1.1</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禁止开发建设活动的要求</w:t>
                  </w:r>
                </w:p>
              </w:tc>
              <w:tc>
                <w:tcPr>
                  <w:tcW w:w="2186"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严禁产能过剩行业新增产能，各开发区主导产业产值占比达到60%以上，严防发达地区淘汰退出的高污染企业落户固原。</w:t>
                  </w:r>
                </w:p>
              </w:tc>
              <w:tc>
                <w:tcPr>
                  <w:tcW w:w="1708"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highlight w:val="none"/>
                      <w:lang w:val="zh-CN" w:eastAsia="zh-CN"/>
                    </w:rPr>
                    <w:t>本项目为</w:t>
                  </w:r>
                  <w:r>
                    <w:rPr>
                      <w:rFonts w:hint="eastAsia" w:cs="Times New Roman"/>
                      <w:color w:val="auto"/>
                      <w:sz w:val="21"/>
                      <w:szCs w:val="21"/>
                      <w:highlight w:val="none"/>
                      <w:lang w:val="en-US" w:eastAsia="zh-CN"/>
                    </w:rPr>
                    <w:t>农产品基地建设项目</w:t>
                  </w:r>
                  <w:r>
                    <w:rPr>
                      <w:rFonts w:hint="default" w:ascii="Times New Roman" w:hAnsi="Times New Roman" w:cs="Times New Roman"/>
                      <w:color w:val="auto"/>
                      <w:sz w:val="21"/>
                      <w:szCs w:val="21"/>
                      <w:highlight w:val="none"/>
                      <w:lang w:val="zh-CN" w:eastAsia="zh-CN"/>
                    </w:rPr>
                    <w:t>，属于《产业结构调整指导目录(2024年本)》中</w:t>
                  </w:r>
                  <w:r>
                    <w:rPr>
                      <w:rFonts w:hint="eastAsia" w:cs="Times New Roman"/>
                      <w:color w:val="auto"/>
                      <w:sz w:val="21"/>
                      <w:szCs w:val="21"/>
                      <w:highlight w:val="none"/>
                      <w:lang w:val="en-US" w:eastAsia="zh-CN"/>
                    </w:rPr>
                    <w:t>鼓励</w:t>
                  </w:r>
                  <w:r>
                    <w:rPr>
                      <w:rFonts w:hint="default" w:ascii="Times New Roman" w:hAnsi="Times New Roman" w:cs="Times New Roman"/>
                      <w:color w:val="auto"/>
                      <w:sz w:val="21"/>
                      <w:szCs w:val="21"/>
                      <w:highlight w:val="none"/>
                      <w:lang w:val="zh-CN" w:eastAsia="zh-CN"/>
                    </w:rPr>
                    <w:t>类项目</w:t>
                  </w:r>
                  <w:r>
                    <w:rPr>
                      <w:rFonts w:hint="eastAsia" w:cs="Times New Roman"/>
                      <w:color w:val="auto"/>
                      <w:sz w:val="21"/>
                      <w:szCs w:val="21"/>
                      <w:highlight w:val="none"/>
                      <w:lang w:val="zh-CN" w:eastAsia="zh-CN"/>
                    </w:rPr>
                    <w:t>。</w:t>
                  </w:r>
                </w:p>
              </w:tc>
              <w:tc>
                <w:tcPr>
                  <w:tcW w:w="390"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311"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402"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2186"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严禁在“七河”及其重点支流临岸1公里范围内新建“两高一资”项目及相关产业园区。</w:t>
                  </w:r>
                </w:p>
              </w:tc>
              <w:tc>
                <w:tcPr>
                  <w:tcW w:w="1708" w:type="pct"/>
                  <w:tcBorders>
                    <w:tl2br w:val="nil"/>
                    <w:tr2bl w:val="nil"/>
                  </w:tcBorders>
                  <w:noWrap w:val="0"/>
                  <w:tcMar>
                    <w:top w:w="0" w:type="dxa"/>
                    <w:left w:w="51" w:type="dxa"/>
                    <w:bottom w:w="0" w:type="dxa"/>
                    <w:right w:w="51" w:type="dxa"/>
                  </w:tcMar>
                  <w:vAlign w:val="center"/>
                </w:tcPr>
                <w:p>
                  <w:pPr>
                    <w:pStyle w:val="20"/>
                    <w:jc w:val="center"/>
                    <w:rPr>
                      <w:rFonts w:hint="default" w:ascii="Times New Roman" w:hAnsi="Times New Roman" w:cs="Times New Roman"/>
                      <w:color w:val="auto"/>
                      <w:kern w:val="0"/>
                      <w:sz w:val="21"/>
                      <w:szCs w:val="21"/>
                      <w:lang w:val="en-US" w:eastAsia="zh-CN"/>
                    </w:rPr>
                  </w:pPr>
                  <w:r>
                    <w:rPr>
                      <w:rFonts w:hint="eastAsia" w:cs="Times New Roman"/>
                      <w:color w:val="auto"/>
                      <w:kern w:val="0"/>
                      <w:sz w:val="21"/>
                      <w:szCs w:val="21"/>
                      <w:lang w:val="en-US" w:eastAsia="zh-CN"/>
                    </w:rPr>
                    <w:t>本项目不涉及</w:t>
                  </w:r>
                </w:p>
              </w:tc>
              <w:tc>
                <w:tcPr>
                  <w:tcW w:w="390"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311"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402"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2186"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城市建成区一律禁止新建35蒸吨/小时以下燃煤锅炉。</w:t>
                  </w:r>
                </w:p>
              </w:tc>
              <w:tc>
                <w:tcPr>
                  <w:tcW w:w="1708" w:type="pct"/>
                  <w:tcBorders>
                    <w:tl2br w:val="nil"/>
                    <w:tr2bl w:val="nil"/>
                  </w:tcBorders>
                  <w:noWrap w:val="0"/>
                  <w:tcMar>
                    <w:top w:w="0" w:type="dxa"/>
                    <w:left w:w="51" w:type="dxa"/>
                    <w:bottom w:w="0" w:type="dxa"/>
                    <w:right w:w="51" w:type="dxa"/>
                  </w:tcMar>
                  <w:vAlign w:val="center"/>
                </w:tcPr>
                <w:p>
                  <w:pPr>
                    <w:pStyle w:val="2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本项目不涉及燃煤锅炉的建设</w:t>
                  </w:r>
                </w:p>
              </w:tc>
              <w:tc>
                <w:tcPr>
                  <w:tcW w:w="390"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311" w:type="pct"/>
                  <w:vMerge w:val="restar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A2污染物排放管控</w:t>
                  </w:r>
                </w:p>
              </w:tc>
              <w:tc>
                <w:tcPr>
                  <w:tcW w:w="402" w:type="pct"/>
                  <w:vMerge w:val="restar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A2.1允许排放量要求</w:t>
                  </w:r>
                </w:p>
              </w:tc>
              <w:tc>
                <w:tcPr>
                  <w:tcW w:w="2186"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化学需氧量、氨氮、氮氧化物、挥发性有机物减排量完成自治区下达任务。</w:t>
                  </w:r>
                </w:p>
              </w:tc>
              <w:tc>
                <w:tcPr>
                  <w:tcW w:w="1708"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w:t>
                  </w:r>
                  <w:r>
                    <w:rPr>
                      <w:rFonts w:hint="eastAsia" w:cs="Times New Roman"/>
                      <w:b w:val="0"/>
                      <w:bCs w:val="0"/>
                      <w:color w:val="auto"/>
                      <w:sz w:val="21"/>
                      <w:szCs w:val="21"/>
                      <w:highlight w:val="none"/>
                      <w:lang w:val="en-US" w:eastAsia="zh-CN"/>
                    </w:rPr>
                    <w:t>不涉及</w:t>
                  </w:r>
                </w:p>
              </w:tc>
              <w:tc>
                <w:tcPr>
                  <w:tcW w:w="390"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311"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402"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2186"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严格重金属排放项目准入，坚持“减量置换”或“等量置换”原则。</w:t>
                  </w:r>
                </w:p>
              </w:tc>
              <w:tc>
                <w:tcPr>
                  <w:tcW w:w="1708" w:type="pct"/>
                  <w:vMerge w:val="restar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本项目不涉及</w:t>
                  </w:r>
                </w:p>
              </w:tc>
              <w:tc>
                <w:tcPr>
                  <w:tcW w:w="390" w:type="pct"/>
                  <w:vMerge w:val="restar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311"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402"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2186"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严格重金属排放项目准入，坚持“减量置换”或“等量置换”原则。</w:t>
                  </w:r>
                </w:p>
              </w:tc>
              <w:tc>
                <w:tcPr>
                  <w:tcW w:w="1708"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390"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311"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402"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2186"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火电、水泥等重点行业及燃煤锅炉，严格按照大气污染物排放标准及特别排放限值要求执行。</w:t>
                  </w:r>
                </w:p>
              </w:tc>
              <w:tc>
                <w:tcPr>
                  <w:tcW w:w="1708"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本项目不涉及</w:t>
                  </w:r>
                </w:p>
              </w:tc>
              <w:tc>
                <w:tcPr>
                  <w:tcW w:w="390"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311"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rPr>
                  </w:pPr>
                </w:p>
              </w:tc>
              <w:tc>
                <w:tcPr>
                  <w:tcW w:w="402"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rPr>
                  </w:pPr>
                </w:p>
              </w:tc>
              <w:tc>
                <w:tcPr>
                  <w:tcW w:w="2186"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到2025年，全市工业固体废弃物综合利用率达到80%，中水利用率达到85%以上。</w:t>
                  </w:r>
                </w:p>
              </w:tc>
              <w:tc>
                <w:tcPr>
                  <w:tcW w:w="1708"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运营期一般固废主要为生活垃圾、废包装材料</w:t>
                  </w:r>
                  <w:r>
                    <w:rPr>
                      <w:rFonts w:hint="eastAsia" w:cs="Times New Roman"/>
                      <w:b w:val="0"/>
                      <w:bCs w:val="0"/>
                      <w:color w:val="auto"/>
                      <w:sz w:val="21"/>
                      <w:szCs w:val="21"/>
                      <w:highlight w:val="none"/>
                      <w:lang w:val="en-US" w:eastAsia="zh-CN"/>
                    </w:rPr>
                    <w:t>、废弃菌棒</w:t>
                  </w:r>
                  <w:r>
                    <w:rPr>
                      <w:rFonts w:hint="default" w:ascii="Times New Roman" w:hAnsi="Times New Roman" w:cs="Times New Roman"/>
                      <w:b w:val="0"/>
                      <w:bCs w:val="0"/>
                      <w:color w:val="auto"/>
                      <w:sz w:val="21"/>
                      <w:szCs w:val="21"/>
                      <w:highlight w:val="none"/>
                      <w:lang w:val="en-US" w:eastAsia="zh-CN"/>
                    </w:rPr>
                    <w:t>；生活垃圾集中收集后交由环卫部门进行处置；废包装材料</w:t>
                  </w:r>
                  <w:r>
                    <w:rPr>
                      <w:rFonts w:hint="eastAsia" w:cs="Times New Roman"/>
                      <w:b w:val="0"/>
                      <w:bCs w:val="0"/>
                      <w:color w:val="auto"/>
                      <w:sz w:val="21"/>
                      <w:szCs w:val="21"/>
                      <w:highlight w:val="none"/>
                      <w:lang w:val="en-US" w:eastAsia="zh-CN"/>
                    </w:rPr>
                    <w:t>、废弃菌棒</w:t>
                  </w:r>
                  <w:r>
                    <w:rPr>
                      <w:rFonts w:hint="default" w:ascii="Times New Roman" w:hAnsi="Times New Roman" w:cs="Times New Roman"/>
                      <w:b w:val="0"/>
                      <w:bCs w:val="0"/>
                      <w:color w:val="auto"/>
                      <w:sz w:val="21"/>
                      <w:szCs w:val="21"/>
                      <w:highlight w:val="none"/>
                      <w:lang w:val="en-US" w:eastAsia="zh-CN"/>
                    </w:rPr>
                    <w:t>集中收集后外售处置</w:t>
                  </w:r>
                  <w:r>
                    <w:rPr>
                      <w:rFonts w:hint="eastAsia" w:cs="Times New Roman"/>
                      <w:b w:val="0"/>
                      <w:bCs w:val="0"/>
                      <w:color w:val="auto"/>
                      <w:sz w:val="21"/>
                      <w:szCs w:val="21"/>
                      <w:highlight w:val="none"/>
                      <w:lang w:val="en-US" w:eastAsia="zh-CN"/>
                    </w:rPr>
                    <w:t>；</w:t>
                  </w:r>
                </w:p>
              </w:tc>
              <w:tc>
                <w:tcPr>
                  <w:tcW w:w="390"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311"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402" w:type="pct"/>
                  <w:vMerge w:val="restar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A2.2</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现有源提标升级改造</w:t>
                  </w:r>
                </w:p>
              </w:tc>
              <w:tc>
                <w:tcPr>
                  <w:tcW w:w="2186"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到2025年，65蒸吨/小时及以上燃煤锅炉(含电力)全面实现超低排放；所有燃气锅炉氮氧化物排放浓度低于50毫克/立方米。</w:t>
                  </w:r>
                </w:p>
              </w:tc>
              <w:tc>
                <w:tcPr>
                  <w:tcW w:w="1708"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本项目不涉及燃煤锅炉的建设</w:t>
                  </w:r>
                </w:p>
              </w:tc>
              <w:tc>
                <w:tcPr>
                  <w:tcW w:w="390"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311"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rPr>
                  </w:pPr>
                </w:p>
              </w:tc>
              <w:tc>
                <w:tcPr>
                  <w:tcW w:w="402"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rPr>
                  </w:pPr>
                </w:p>
              </w:tc>
              <w:tc>
                <w:tcPr>
                  <w:tcW w:w="2186"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探索畜禽养殖“出户入园”模式，落实“一控两减三利用”，减少化肥和农药使用量；实现畜禽粪便、农作物秸秆、农膜资源化利用，到2025年，农业废弃物综合利用率达到94%以上。</w:t>
                  </w:r>
                </w:p>
              </w:tc>
              <w:tc>
                <w:tcPr>
                  <w:tcW w:w="1708"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本项目不</w:t>
                  </w:r>
                  <w:r>
                    <w:rPr>
                      <w:rFonts w:hint="eastAsia" w:cs="Times New Roman"/>
                      <w:b w:val="0"/>
                      <w:bCs w:val="0"/>
                      <w:color w:val="auto"/>
                      <w:sz w:val="21"/>
                      <w:szCs w:val="21"/>
                      <w:highlight w:val="none"/>
                      <w:lang w:val="en-US" w:eastAsia="zh-CN"/>
                    </w:rPr>
                    <w:t>涉及</w:t>
                  </w:r>
                </w:p>
              </w:tc>
              <w:tc>
                <w:tcPr>
                  <w:tcW w:w="390"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311" w:type="pct"/>
                  <w:vMerge w:val="restar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A3</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环境风险防控</w:t>
                  </w:r>
                </w:p>
              </w:tc>
              <w:tc>
                <w:tcPr>
                  <w:tcW w:w="402" w:type="pct"/>
                  <w:vMerge w:val="restar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A3.1</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联防联控要求</w:t>
                  </w:r>
                </w:p>
              </w:tc>
              <w:tc>
                <w:tcPr>
                  <w:tcW w:w="2186"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开展医疗、化工、石油开采和汽修等重点行业涉及危险废物排查整治，建立健全环境风险重点管控单位名录，严控危险废物贮存环节环境风险，严禁超期、超量贮存各类危险废物。</w:t>
                  </w:r>
                </w:p>
              </w:tc>
              <w:tc>
                <w:tcPr>
                  <w:tcW w:w="1708"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eastAsia="宋体" w:cs="Times New Roman"/>
                      <w:b w:val="0"/>
                      <w:bCs w:val="0"/>
                      <w:color w:val="auto"/>
                      <w:sz w:val="21"/>
                      <w:szCs w:val="21"/>
                      <w:highlight w:val="none"/>
                      <w:lang w:val="en-US" w:eastAsia="zh-CN"/>
                    </w:rPr>
                    <w:t>本项目不属于医疗、化工、石油开采和汽修等重点行业</w:t>
                  </w:r>
                </w:p>
              </w:tc>
              <w:tc>
                <w:tcPr>
                  <w:tcW w:w="390"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311"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rPr>
                  </w:pPr>
                </w:p>
              </w:tc>
              <w:tc>
                <w:tcPr>
                  <w:tcW w:w="402"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rPr>
                  </w:pPr>
                </w:p>
              </w:tc>
              <w:tc>
                <w:tcPr>
                  <w:tcW w:w="2186"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以环境风险较高的饮用水水源地保护区、交通干道和集中式污染处理设施等为重点，提高防范环境风险能力，规范化集中式污染处理设施日常运行维护，建设应急导流槽、事故调蓄池、应急闸坝等事故排水收集截留设施等预防性设施。</w:t>
                  </w:r>
                </w:p>
              </w:tc>
              <w:tc>
                <w:tcPr>
                  <w:tcW w:w="1708"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本项目不涉及</w:t>
                  </w:r>
                </w:p>
              </w:tc>
              <w:tc>
                <w:tcPr>
                  <w:tcW w:w="390"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311"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p>
              </w:tc>
              <w:tc>
                <w:tcPr>
                  <w:tcW w:w="402"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p>
              </w:tc>
              <w:tc>
                <w:tcPr>
                  <w:tcW w:w="2186"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健全突发环境事件应急预案体系，推进跨区域、跨流域环境应急联动。</w:t>
                  </w:r>
                </w:p>
              </w:tc>
              <w:tc>
                <w:tcPr>
                  <w:tcW w:w="1708"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本项目不涉及</w:t>
                  </w:r>
                </w:p>
              </w:tc>
              <w:tc>
                <w:tcPr>
                  <w:tcW w:w="390"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311" w:type="pct"/>
                  <w:vMerge w:val="restar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A4</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资源利用效率要求</w:t>
                  </w:r>
                </w:p>
              </w:tc>
              <w:tc>
                <w:tcPr>
                  <w:tcW w:w="402" w:type="pct"/>
                  <w:vMerge w:val="restar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A4.1</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能源利用总量及效率要求</w:t>
                  </w:r>
                </w:p>
              </w:tc>
              <w:tc>
                <w:tcPr>
                  <w:tcW w:w="2186"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实行煤炭消费总量控制，严控高耗煤行业新增项目。</w:t>
                  </w:r>
                </w:p>
              </w:tc>
              <w:tc>
                <w:tcPr>
                  <w:tcW w:w="1708" w:type="pct"/>
                  <w:vMerge w:val="restar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本项目不涉及煤炭的使用</w:t>
                  </w:r>
                </w:p>
              </w:tc>
              <w:tc>
                <w:tcPr>
                  <w:tcW w:w="390" w:type="pct"/>
                  <w:vMerge w:val="restar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311"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rPr>
                  </w:pPr>
                </w:p>
              </w:tc>
              <w:tc>
                <w:tcPr>
                  <w:tcW w:w="402"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1"/>
                      <w:szCs w:val="21"/>
                    </w:rPr>
                  </w:pPr>
                </w:p>
              </w:tc>
              <w:tc>
                <w:tcPr>
                  <w:tcW w:w="2186"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到2025年，全市单位地区生产总值能耗降低基本目标为13%，激励目标为14%。</w:t>
                  </w:r>
                </w:p>
              </w:tc>
              <w:tc>
                <w:tcPr>
                  <w:tcW w:w="1708"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390"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56" w:hRule="atLeast"/>
                <w:jc w:val="center"/>
              </w:trPr>
              <w:tc>
                <w:tcPr>
                  <w:tcW w:w="311" w:type="pct"/>
                  <w:vMerge w:val="continue"/>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402"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A4.2</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水资源利用总量及效率要求</w:t>
                  </w:r>
                </w:p>
              </w:tc>
              <w:tc>
                <w:tcPr>
                  <w:tcW w:w="2186"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落实节水指标纳入县（区）政绩考核，对水资源超载地区实行用水和项目“双限批”，到2025年全市用水总量控制在2.90亿立方米，单位GDP用水量较2020年下降13%。积极推广农业成套综合节水技术，到2025年农田灌溉水有效利用系数达到0.79。</w:t>
                  </w:r>
                </w:p>
              </w:tc>
              <w:tc>
                <w:tcPr>
                  <w:tcW w:w="1708"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本项目用水主要为职工生活用水</w:t>
                  </w:r>
                  <w:r>
                    <w:rPr>
                      <w:rFonts w:hint="eastAsia" w:cs="Times New Roman"/>
                      <w:b w:val="0"/>
                      <w:bCs w:val="0"/>
                      <w:color w:val="auto"/>
                      <w:sz w:val="21"/>
                      <w:szCs w:val="21"/>
                      <w:highlight w:val="none"/>
                      <w:lang w:val="en-US" w:eastAsia="zh-CN"/>
                    </w:rPr>
                    <w:t>与生产用水</w:t>
                  </w:r>
                  <w:r>
                    <w:rPr>
                      <w:rFonts w:hint="default" w:ascii="Times New Roman" w:hAnsi="Times New Roman" w:cs="Times New Roman"/>
                      <w:b w:val="0"/>
                      <w:bCs w:val="0"/>
                      <w:color w:val="auto"/>
                      <w:sz w:val="21"/>
                      <w:szCs w:val="21"/>
                      <w:highlight w:val="none"/>
                      <w:lang w:val="en-US" w:eastAsia="zh-CN"/>
                    </w:rPr>
                    <w:t>，用水量为</w:t>
                  </w:r>
                  <w:r>
                    <w:rPr>
                      <w:rFonts w:hint="eastAsia" w:cs="Times New Roman"/>
                      <w:color w:val="auto"/>
                      <w:kern w:val="0"/>
                      <w:sz w:val="21"/>
                      <w:szCs w:val="21"/>
                      <w:highlight w:val="none"/>
                      <w:lang w:val="en-US" w:eastAsia="zh-CN"/>
                    </w:rPr>
                    <w:t>21654.52</w:t>
                  </w:r>
                  <w:r>
                    <w:rPr>
                      <w:rFonts w:hint="default" w:ascii="Times New Roman" w:hAnsi="Times New Roman" w:cs="Times New Roman"/>
                      <w:color w:val="auto"/>
                      <w:sz w:val="21"/>
                      <w:szCs w:val="21"/>
                      <w:highlight w:val="none"/>
                      <w:lang w:val="en-US" w:eastAsia="zh-CN"/>
                    </w:rPr>
                    <w:t>m³/a</w:t>
                  </w:r>
                  <w:r>
                    <w:rPr>
                      <w:rFonts w:hint="default" w:ascii="Times New Roman" w:hAnsi="Times New Roman" w:cs="Times New Roman"/>
                      <w:b w:val="0"/>
                      <w:bCs w:val="0"/>
                      <w:color w:val="auto"/>
                      <w:sz w:val="21"/>
                      <w:szCs w:val="21"/>
                      <w:highlight w:val="none"/>
                      <w:lang w:val="en-US" w:eastAsia="zh-CN"/>
                    </w:rPr>
                    <w:t>，用水量较小，对区域水环境影响较小。</w:t>
                  </w:r>
                </w:p>
              </w:tc>
              <w:tc>
                <w:tcPr>
                  <w:tcW w:w="390" w:type="pct"/>
                  <w:tcBorders>
                    <w:tl2br w:val="nil"/>
                    <w:tr2bl w:val="nil"/>
                  </w:tcBorders>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符合</w:t>
                  </w:r>
                </w:p>
              </w:tc>
            </w:tr>
          </w:tbl>
          <w:p>
            <w:pPr>
              <w:snapToGrid w:val="0"/>
              <w:spacing w:line="400" w:lineRule="exact"/>
              <w:jc w:val="center"/>
              <w:rPr>
                <w:rFonts w:hint="default" w:ascii="Times New Roman" w:hAnsi="Times New Roman" w:eastAsia="黑体" w:cs="Times New Roman"/>
                <w:b w:val="0"/>
                <w:bCs/>
                <w:color w:val="0000FF"/>
                <w:sz w:val="24"/>
                <w:highlight w:val="none"/>
                <w:lang w:val="en-US" w:eastAsia="zh-CN"/>
              </w:rPr>
            </w:pPr>
            <w:r>
              <w:rPr>
                <w:rFonts w:hint="default" w:ascii="Times New Roman" w:hAnsi="Times New Roman" w:eastAsia="黑体" w:cs="Times New Roman"/>
                <w:b w:val="0"/>
                <w:bCs/>
                <w:color w:val="0000FF"/>
                <w:sz w:val="24"/>
                <w:highlight w:val="none"/>
                <w:lang w:val="en-US" w:eastAsia="zh-CN"/>
              </w:rPr>
              <w:t>表</w:t>
            </w:r>
            <w:r>
              <w:rPr>
                <w:rFonts w:hint="eastAsia" w:eastAsia="黑体" w:cs="Times New Roman"/>
                <w:b w:val="0"/>
                <w:bCs/>
                <w:color w:val="0000FF"/>
                <w:sz w:val="24"/>
                <w:highlight w:val="none"/>
                <w:lang w:val="en-US" w:eastAsia="zh-CN"/>
              </w:rPr>
              <w:t>3</w:t>
            </w:r>
            <w:r>
              <w:rPr>
                <w:rFonts w:hint="default" w:ascii="Times New Roman" w:hAnsi="Times New Roman" w:eastAsia="黑体" w:cs="Times New Roman"/>
                <w:b w:val="0"/>
                <w:bCs/>
                <w:color w:val="0000FF"/>
                <w:sz w:val="24"/>
                <w:highlight w:val="none"/>
                <w:lang w:val="en-US" w:eastAsia="zh-CN"/>
              </w:rPr>
              <w:t xml:space="preserve">  固原市环境管控单元生态环境准入清单符合性分析一览表</w:t>
            </w:r>
          </w:p>
          <w:tbl>
            <w:tblPr>
              <w:tblStyle w:val="35"/>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184"/>
              <w:gridCol w:w="2958"/>
              <w:gridCol w:w="3418"/>
              <w:gridCol w:w="73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48" w:hRule="atLeast"/>
                <w:jc w:val="center"/>
              </w:trPr>
              <w:tc>
                <w:tcPr>
                  <w:tcW w:w="713"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类别</w:t>
                  </w:r>
                </w:p>
              </w:tc>
              <w:tc>
                <w:tcPr>
                  <w:tcW w:w="1783"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准入清单管控要求</w:t>
                  </w:r>
                </w:p>
              </w:tc>
              <w:tc>
                <w:tcPr>
                  <w:tcW w:w="2061"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本项目情况</w:t>
                  </w:r>
                </w:p>
              </w:tc>
              <w:tc>
                <w:tcPr>
                  <w:tcW w:w="441"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符合性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1" w:hRule="atLeast"/>
                <w:jc w:val="center"/>
              </w:trPr>
              <w:tc>
                <w:tcPr>
                  <w:tcW w:w="713"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管控单元名称</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kern w:val="2"/>
                      <w:sz w:val="21"/>
                      <w:szCs w:val="21"/>
                      <w:lang w:val="en-US" w:eastAsia="zh-CN" w:bidi="ar-SA"/>
                    </w:rPr>
                  </w:pPr>
                  <w:r>
                    <w:rPr>
                      <w:rFonts w:hint="eastAsia" w:cs="Times New Roman"/>
                      <w:b/>
                      <w:bCs/>
                      <w:color w:val="0000FF"/>
                      <w:kern w:val="2"/>
                      <w:sz w:val="21"/>
                      <w:szCs w:val="21"/>
                      <w:lang w:val="en-US" w:eastAsia="zh-CN" w:bidi="ar-SA"/>
                    </w:rPr>
                    <w:t>泾源县优先保护单元6</w:t>
                  </w:r>
                </w:p>
              </w:tc>
              <w:tc>
                <w:tcPr>
                  <w:tcW w:w="2061" w:type="pct"/>
                  <w:vMerge w:val="restar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黄花乡沙塘村菌菇产业园区扩容提升建设工程</w:t>
                  </w:r>
                  <w:r>
                    <w:rPr>
                      <w:rFonts w:hint="eastAsia" w:cs="Times New Roman"/>
                      <w:b/>
                      <w:bCs/>
                      <w:color w:val="0000FF"/>
                      <w:sz w:val="21"/>
                      <w:szCs w:val="21"/>
                      <w:lang w:val="en-US" w:eastAsia="zh-CN"/>
                    </w:rPr>
                    <w:t>、黄花乡羊槽村菌菇产业园建设工程</w:t>
                  </w:r>
                  <w:r>
                    <w:rPr>
                      <w:rFonts w:hint="default" w:ascii="Times New Roman" w:hAnsi="Times New Roman" w:eastAsia="宋体" w:cs="Times New Roman"/>
                      <w:b/>
                      <w:bCs/>
                      <w:color w:val="0000FF"/>
                      <w:sz w:val="21"/>
                      <w:szCs w:val="21"/>
                      <w:lang w:val="en-US" w:eastAsia="zh-CN"/>
                    </w:rPr>
                    <w:t>位于</w:t>
                  </w:r>
                  <w:r>
                    <w:rPr>
                      <w:rFonts w:hint="eastAsia" w:cs="Times New Roman"/>
                      <w:b/>
                      <w:bCs/>
                      <w:color w:val="0000FF"/>
                      <w:kern w:val="2"/>
                      <w:sz w:val="21"/>
                      <w:szCs w:val="21"/>
                      <w:lang w:val="en-US" w:eastAsia="zh-CN" w:bidi="ar-SA"/>
                    </w:rPr>
                    <w:t>泾源县优先保护单元6</w:t>
                  </w:r>
                </w:p>
              </w:tc>
              <w:tc>
                <w:tcPr>
                  <w:tcW w:w="441" w:type="pct"/>
                  <w:vMerge w:val="restart"/>
                  <w:tcBorders>
                    <w:tl2br w:val="nil"/>
                    <w:tr2bl w:val="nil"/>
                  </w:tcBorders>
                  <w:noWrap w:val="0"/>
                  <w:tcMar>
                    <w:top w:w="0" w:type="dxa"/>
                    <w:left w:w="28" w:type="dxa"/>
                    <w:bottom w:w="0" w:type="dxa"/>
                    <w:right w:w="28" w:type="dxa"/>
                  </w:tcMar>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38" w:hRule="atLeast"/>
                <w:jc w:val="center"/>
              </w:trPr>
              <w:tc>
                <w:tcPr>
                  <w:tcW w:w="713"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序号</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kern w:val="2"/>
                      <w:sz w:val="21"/>
                      <w:szCs w:val="21"/>
                      <w:lang w:val="en-US" w:eastAsia="zh-CN" w:bidi="ar-SA"/>
                    </w:rPr>
                    <w:t>ZH64042410014</w:t>
                  </w:r>
                </w:p>
              </w:tc>
              <w:tc>
                <w:tcPr>
                  <w:tcW w:w="2061" w:type="pct"/>
                  <w:vMerge w:val="continue"/>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p>
              </w:tc>
              <w:tc>
                <w:tcPr>
                  <w:tcW w:w="441" w:type="pct"/>
                  <w:vMerge w:val="continue"/>
                  <w:tcBorders>
                    <w:tl2br w:val="nil"/>
                    <w:tr2bl w:val="nil"/>
                  </w:tcBorders>
                  <w:noWrap w:val="0"/>
                  <w:tcMar>
                    <w:top w:w="0" w:type="dxa"/>
                    <w:left w:w="28" w:type="dxa"/>
                    <w:bottom w:w="0" w:type="dxa"/>
                    <w:right w:w="28" w:type="dxa"/>
                  </w:tcMar>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713"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要素属性</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kern w:val="2"/>
                      <w:sz w:val="21"/>
                      <w:szCs w:val="21"/>
                      <w:lang w:val="en-US" w:eastAsia="zh-CN" w:bidi="ar-SA"/>
                    </w:rPr>
                    <w:t>生态空间</w:t>
                  </w:r>
                </w:p>
              </w:tc>
              <w:tc>
                <w:tcPr>
                  <w:tcW w:w="2061" w:type="pct"/>
                  <w:vMerge w:val="continue"/>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p>
              </w:tc>
              <w:tc>
                <w:tcPr>
                  <w:tcW w:w="441" w:type="pct"/>
                  <w:vMerge w:val="continue"/>
                  <w:tcBorders>
                    <w:tl2br w:val="nil"/>
                    <w:tr2bl w:val="nil"/>
                  </w:tcBorders>
                  <w:noWrap w:val="0"/>
                  <w:tcMar>
                    <w:top w:w="0" w:type="dxa"/>
                    <w:left w:w="28" w:type="dxa"/>
                    <w:bottom w:w="0" w:type="dxa"/>
                    <w:right w:w="28" w:type="dxa"/>
                  </w:tcMar>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613" w:hRule="atLeast"/>
                <w:jc w:val="center"/>
              </w:trPr>
              <w:tc>
                <w:tcPr>
                  <w:tcW w:w="71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eastAsia="宋体" w:cs="Times New Roman"/>
                      <w:b w:val="0"/>
                      <w:bCs w:val="0"/>
                      <w:color w:val="0000FF"/>
                      <w:sz w:val="21"/>
                      <w:szCs w:val="21"/>
                      <w:lang w:val="en-US" w:eastAsia="zh-CN"/>
                    </w:rPr>
                    <w:t>空间布局约束</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highlight w:val="none"/>
                      <w:lang w:val="en-US" w:eastAsia="zh-CN" w:bidi="ar-SA"/>
                    </w:rPr>
                  </w:pPr>
                  <w:r>
                    <w:rPr>
                      <w:rFonts w:hint="default" w:ascii="Times New Roman" w:hAnsi="Times New Roman" w:eastAsia="宋体" w:cs="Times New Roman"/>
                      <w:b w:val="0"/>
                      <w:bCs w:val="0"/>
                      <w:color w:val="0000FF"/>
                      <w:kern w:val="2"/>
                      <w:sz w:val="21"/>
                      <w:szCs w:val="21"/>
                      <w:highlight w:val="none"/>
                      <w:lang w:val="en-US" w:eastAsia="zh-CN" w:bidi="ar-SA"/>
                    </w:rPr>
                    <w:t>1.禁止在二十五度以上陡坡地开垦种植农作物。</w:t>
                  </w:r>
                </w:p>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highlight w:val="none"/>
                      <w:lang w:val="en-US" w:eastAsia="zh-CN" w:bidi="ar-SA"/>
                    </w:rPr>
                  </w:pPr>
                  <w:r>
                    <w:rPr>
                      <w:rFonts w:hint="default" w:ascii="Times New Roman" w:hAnsi="Times New Roman" w:eastAsia="宋体" w:cs="Times New Roman"/>
                      <w:b w:val="0"/>
                      <w:bCs w:val="0"/>
                      <w:color w:val="0000FF"/>
                      <w:kern w:val="2"/>
                      <w:sz w:val="21"/>
                      <w:szCs w:val="21"/>
                      <w:highlight w:val="none"/>
                      <w:lang w:val="en-US" w:eastAsia="zh-CN" w:bidi="ar-SA"/>
                    </w:rPr>
                    <w:t>2.生态保护红线内，除国家重大战略项目以及对生态功能不造成破坏的十类有限人为活动之外，严格禁止各类开发性、生产性建设活动。一般生态空间内，在生态保护红线正面清单的基础上，仅允许开展生态修复等对生态环境扰动较小、不损害或有利于提升生态功能的开发项目。生态保护红线和一般生态空间以外的其他区域，除国家、自治区重大战略规划项目和不可避让生态红线的十类建设项目外，禁止新建排放污染物的各类工业和规模化养殖项目。</w:t>
                  </w:r>
                </w:p>
              </w:tc>
              <w:tc>
                <w:tcPr>
                  <w:tcW w:w="2061"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cs="Times New Roman"/>
                      <w:b w:val="0"/>
                      <w:bCs w:val="0"/>
                      <w:color w:val="0000FF"/>
                      <w:sz w:val="21"/>
                      <w:szCs w:val="21"/>
                      <w:lang w:val="en-US" w:eastAsia="zh-CN"/>
                    </w:rPr>
                    <w:t>1.本项目在现有耕地进行菌菇种植，不涉及在</w:t>
                  </w:r>
                  <w:r>
                    <w:rPr>
                      <w:rFonts w:hint="default" w:ascii="Times New Roman" w:hAnsi="Times New Roman" w:eastAsia="宋体" w:cs="Times New Roman"/>
                      <w:b w:val="0"/>
                      <w:bCs w:val="0"/>
                      <w:color w:val="0000FF"/>
                      <w:kern w:val="2"/>
                      <w:sz w:val="21"/>
                      <w:szCs w:val="21"/>
                      <w:lang w:val="en-US" w:eastAsia="zh-CN" w:bidi="ar-SA"/>
                    </w:rPr>
                    <w:t>二十五度以上陡坡地开垦种植农作物。</w:t>
                  </w:r>
                </w:p>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eastAsia" w:ascii="Times New Roman" w:hAnsi="Times New Roman" w:eastAsia="宋体" w:cs="Times New Roman"/>
                      <w:b w:val="0"/>
                      <w:bCs w:val="0"/>
                      <w:color w:val="0000FF"/>
                      <w:kern w:val="2"/>
                      <w:sz w:val="21"/>
                      <w:szCs w:val="21"/>
                      <w:lang w:val="en-US" w:eastAsia="zh-CN" w:bidi="ar-SA"/>
                    </w:rPr>
                    <w:t>2.本项目不涉及。</w:t>
                  </w:r>
                </w:p>
              </w:tc>
              <w:tc>
                <w:tcPr>
                  <w:tcW w:w="441"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eastAsia="宋体" w:cs="Times New Roman"/>
                      <w:b w:val="0"/>
                      <w:bCs w:val="0"/>
                      <w:color w:val="0000FF"/>
                      <w:sz w:val="21"/>
                      <w:szCs w:val="21"/>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4" w:hRule="atLeast"/>
                <w:jc w:val="center"/>
              </w:trPr>
              <w:tc>
                <w:tcPr>
                  <w:tcW w:w="71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污染排放管控</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eastAsia="宋体" w:cs="Times New Roman"/>
                      <w:b w:val="0"/>
                      <w:bCs w:val="0"/>
                      <w:color w:val="0000FF"/>
                      <w:sz w:val="21"/>
                      <w:szCs w:val="21"/>
                      <w:lang w:val="en-US" w:eastAsia="zh-CN"/>
                    </w:rPr>
                    <w:t>/</w:t>
                  </w:r>
                </w:p>
              </w:tc>
              <w:tc>
                <w:tcPr>
                  <w:tcW w:w="2061"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eastAsia" w:cs="Times New Roman"/>
                      <w:b w:val="0"/>
                      <w:bCs w:val="0"/>
                      <w:color w:val="0000FF"/>
                      <w:sz w:val="21"/>
                      <w:szCs w:val="21"/>
                      <w:lang w:val="en-US" w:eastAsia="zh-CN"/>
                    </w:rPr>
                    <w:t>/</w:t>
                  </w:r>
                </w:p>
              </w:tc>
              <w:tc>
                <w:tcPr>
                  <w:tcW w:w="441"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cs="Times New Roman"/>
                      <w:b w:val="0"/>
                      <w:bCs w:val="0"/>
                      <w:color w:val="0000FF"/>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4" w:hRule="atLeast"/>
                <w:jc w:val="center"/>
              </w:trPr>
              <w:tc>
                <w:tcPr>
                  <w:tcW w:w="71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环境风险防控</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eastAsia="宋体" w:cs="Times New Roman"/>
                      <w:b w:val="0"/>
                      <w:bCs w:val="0"/>
                      <w:color w:val="0000FF"/>
                      <w:sz w:val="21"/>
                      <w:szCs w:val="21"/>
                      <w:lang w:val="en-US" w:eastAsia="zh-CN"/>
                    </w:rPr>
                    <w:t>/</w:t>
                  </w:r>
                </w:p>
              </w:tc>
              <w:tc>
                <w:tcPr>
                  <w:tcW w:w="2061"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eastAsia" w:cs="Times New Roman"/>
                      <w:b w:val="0"/>
                      <w:bCs w:val="0"/>
                      <w:color w:val="0000FF"/>
                      <w:sz w:val="21"/>
                      <w:szCs w:val="21"/>
                      <w:lang w:val="en-US" w:eastAsia="zh-CN"/>
                    </w:rPr>
                    <w:t>/</w:t>
                  </w:r>
                </w:p>
              </w:tc>
              <w:tc>
                <w:tcPr>
                  <w:tcW w:w="441"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cs="Times New Roman"/>
                      <w:b w:val="0"/>
                      <w:bCs w:val="0"/>
                      <w:color w:val="0000FF"/>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资源开发效率</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eastAsia="宋体" w:cs="Times New Roman"/>
                      <w:b w:val="0"/>
                      <w:bCs w:val="0"/>
                      <w:color w:val="0000FF"/>
                      <w:sz w:val="21"/>
                      <w:szCs w:val="21"/>
                      <w:lang w:val="en-US" w:eastAsia="zh-CN"/>
                    </w:rPr>
                    <w:t>/</w:t>
                  </w:r>
                </w:p>
              </w:tc>
              <w:tc>
                <w:tcPr>
                  <w:tcW w:w="2061" w:type="pct"/>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eastAsia" w:eastAsia="宋体" w:cs="Times New Roman"/>
                      <w:b w:val="0"/>
                      <w:bCs w:val="0"/>
                      <w:color w:val="0000FF"/>
                      <w:sz w:val="21"/>
                      <w:szCs w:val="21"/>
                      <w:lang w:val="en-US" w:eastAsia="zh-CN"/>
                    </w:rPr>
                    <w:t>/</w:t>
                  </w:r>
                </w:p>
              </w:tc>
              <w:tc>
                <w:tcPr>
                  <w:tcW w:w="441" w:type="pc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eastAsia" w:eastAsia="宋体" w:cs="Times New Roman"/>
                      <w:b w:val="0"/>
                      <w:bCs w:val="0"/>
                      <w:color w:val="0000FF"/>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48" w:hRule="atLeast"/>
                <w:jc w:val="center"/>
              </w:trPr>
              <w:tc>
                <w:tcPr>
                  <w:tcW w:w="713"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类别</w:t>
                  </w:r>
                </w:p>
              </w:tc>
              <w:tc>
                <w:tcPr>
                  <w:tcW w:w="1783"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准入清单管控要求</w:t>
                  </w:r>
                </w:p>
              </w:tc>
              <w:tc>
                <w:tcPr>
                  <w:tcW w:w="2061"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本项目情况</w:t>
                  </w:r>
                </w:p>
              </w:tc>
              <w:tc>
                <w:tcPr>
                  <w:tcW w:w="441"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符合性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1" w:hRule="atLeast"/>
                <w:jc w:val="center"/>
              </w:trPr>
              <w:tc>
                <w:tcPr>
                  <w:tcW w:w="713"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管控单元名称</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kern w:val="2"/>
                      <w:sz w:val="21"/>
                      <w:szCs w:val="21"/>
                      <w:lang w:val="en-US" w:eastAsia="zh-CN" w:bidi="ar-SA"/>
                    </w:rPr>
                  </w:pPr>
                  <w:r>
                    <w:rPr>
                      <w:rFonts w:hint="eastAsia" w:cs="Times New Roman"/>
                      <w:b/>
                      <w:bCs/>
                      <w:color w:val="0000FF"/>
                      <w:kern w:val="2"/>
                      <w:sz w:val="21"/>
                      <w:szCs w:val="21"/>
                      <w:lang w:val="en-US" w:eastAsia="zh-CN" w:bidi="ar-SA"/>
                    </w:rPr>
                    <w:t>泾源县宁夏固原地区(宁夏中南部)城乡饮水安全水源工程水源地优先保护单元</w:t>
                  </w:r>
                </w:p>
              </w:tc>
              <w:tc>
                <w:tcPr>
                  <w:tcW w:w="2061" w:type="pct"/>
                  <w:vMerge w:val="restar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新民乡马河滩村菌菇大棚建设工程</w:t>
                  </w:r>
                  <w:r>
                    <w:rPr>
                      <w:rFonts w:hint="eastAsia" w:cs="Times New Roman"/>
                      <w:b/>
                      <w:bCs/>
                      <w:color w:val="0000FF"/>
                      <w:sz w:val="21"/>
                      <w:szCs w:val="21"/>
                      <w:lang w:val="en-US" w:eastAsia="zh-CN"/>
                    </w:rPr>
                    <w:t>位于</w:t>
                  </w:r>
                  <w:r>
                    <w:rPr>
                      <w:rFonts w:hint="eastAsia" w:cs="Times New Roman"/>
                      <w:b/>
                      <w:bCs/>
                      <w:color w:val="0000FF"/>
                      <w:kern w:val="2"/>
                      <w:sz w:val="21"/>
                      <w:szCs w:val="21"/>
                      <w:lang w:val="en-US" w:eastAsia="zh-CN" w:bidi="ar-SA"/>
                    </w:rPr>
                    <w:t>泾源县宁夏固原地区(宁夏中南部)城乡饮水安全水源工程水源地优先保护单元</w:t>
                  </w:r>
                </w:p>
              </w:tc>
              <w:tc>
                <w:tcPr>
                  <w:tcW w:w="441" w:type="pct"/>
                  <w:vMerge w:val="restart"/>
                  <w:tcBorders>
                    <w:tl2br w:val="nil"/>
                    <w:tr2bl w:val="nil"/>
                  </w:tcBorders>
                  <w:noWrap w:val="0"/>
                  <w:tcMar>
                    <w:top w:w="0" w:type="dxa"/>
                    <w:left w:w="28" w:type="dxa"/>
                    <w:bottom w:w="0" w:type="dxa"/>
                    <w:right w:w="28" w:type="dxa"/>
                  </w:tcMar>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38" w:hRule="atLeast"/>
                <w:jc w:val="center"/>
              </w:trPr>
              <w:tc>
                <w:tcPr>
                  <w:tcW w:w="713"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eastAsia="宋体" w:cs="Times New Roman"/>
                      <w:b w:val="0"/>
                      <w:bCs w:val="0"/>
                      <w:color w:val="0000FF"/>
                      <w:sz w:val="21"/>
                      <w:szCs w:val="21"/>
                      <w:lang w:val="en-US" w:eastAsia="zh-CN"/>
                    </w:rPr>
                    <w:t>序号</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bCs/>
                      <w:color w:val="0000FF"/>
                      <w:kern w:val="2"/>
                      <w:sz w:val="21"/>
                      <w:szCs w:val="21"/>
                      <w:lang w:val="en-US" w:eastAsia="zh-CN" w:bidi="ar-SA"/>
                    </w:rPr>
                    <w:t>ZH64042410008</w:t>
                  </w:r>
                </w:p>
              </w:tc>
              <w:tc>
                <w:tcPr>
                  <w:tcW w:w="2061" w:type="pct"/>
                  <w:vMerge w:val="continue"/>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p>
              </w:tc>
              <w:tc>
                <w:tcPr>
                  <w:tcW w:w="441" w:type="pct"/>
                  <w:vMerge w:val="continue"/>
                  <w:tcBorders>
                    <w:tl2br w:val="nil"/>
                    <w:tr2bl w:val="nil"/>
                  </w:tcBorders>
                  <w:noWrap w:val="0"/>
                  <w:tcMar>
                    <w:top w:w="0" w:type="dxa"/>
                    <w:left w:w="28" w:type="dxa"/>
                    <w:bottom w:w="0" w:type="dxa"/>
                    <w:right w:w="28" w:type="dxa"/>
                  </w:tcMar>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713"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eastAsia="宋体" w:cs="Times New Roman"/>
                      <w:b w:val="0"/>
                      <w:bCs w:val="0"/>
                      <w:color w:val="0000FF"/>
                      <w:sz w:val="21"/>
                      <w:szCs w:val="21"/>
                      <w:lang w:val="en-US" w:eastAsia="zh-CN"/>
                    </w:rPr>
                    <w:t>要素属性</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kern w:val="2"/>
                      <w:sz w:val="21"/>
                      <w:szCs w:val="21"/>
                      <w:lang w:val="en-US" w:eastAsia="zh-CN" w:bidi="ar-SA"/>
                    </w:rPr>
                    <w:t>宁夏固原地区城乡饮水安全水源工程水源地</w:t>
                  </w:r>
                </w:p>
              </w:tc>
              <w:tc>
                <w:tcPr>
                  <w:tcW w:w="2061" w:type="pct"/>
                  <w:vMerge w:val="continue"/>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p>
              </w:tc>
              <w:tc>
                <w:tcPr>
                  <w:tcW w:w="441" w:type="pct"/>
                  <w:vMerge w:val="continue"/>
                  <w:tcBorders>
                    <w:tl2br w:val="nil"/>
                    <w:tr2bl w:val="nil"/>
                  </w:tcBorders>
                  <w:noWrap w:val="0"/>
                  <w:tcMar>
                    <w:top w:w="0" w:type="dxa"/>
                    <w:left w:w="28" w:type="dxa"/>
                    <w:bottom w:w="0" w:type="dxa"/>
                    <w:right w:w="28" w:type="dxa"/>
                  </w:tcMar>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613" w:hRule="atLeast"/>
                <w:jc w:val="center"/>
              </w:trPr>
              <w:tc>
                <w:tcPr>
                  <w:tcW w:w="71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eastAsia="宋体" w:cs="Times New Roman"/>
                      <w:b w:val="0"/>
                      <w:bCs w:val="0"/>
                      <w:color w:val="0000FF"/>
                      <w:sz w:val="21"/>
                      <w:szCs w:val="21"/>
                      <w:lang w:val="en-US" w:eastAsia="zh-CN"/>
                    </w:rPr>
                    <w:t>空间布局约束</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highlight w:val="none"/>
                      <w:lang w:val="en-US" w:eastAsia="zh-CN" w:bidi="ar-SA"/>
                    </w:rPr>
                  </w:pPr>
                  <w:r>
                    <w:rPr>
                      <w:rFonts w:hint="default" w:ascii="Times New Roman" w:hAnsi="Times New Roman" w:eastAsia="宋体" w:cs="Times New Roman"/>
                      <w:b w:val="0"/>
                      <w:bCs w:val="0"/>
                      <w:color w:val="0000FF"/>
                      <w:kern w:val="2"/>
                      <w:sz w:val="21"/>
                      <w:szCs w:val="21"/>
                      <w:highlight w:val="none"/>
                      <w:lang w:val="en-US" w:eastAsia="zh-CN" w:bidi="ar-SA"/>
                    </w:rPr>
                    <w:t>1.宁夏固原地区（宁夏中南部）城乡饮水安全水源工程水源地保护区参照相关法律法规的要求进行管理。</w:t>
                  </w:r>
                </w:p>
              </w:tc>
              <w:tc>
                <w:tcPr>
                  <w:tcW w:w="2061"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eastAsia" w:cs="Times New Roman"/>
                      <w:b w:val="0"/>
                      <w:bCs w:val="0"/>
                      <w:color w:val="0000FF"/>
                      <w:sz w:val="21"/>
                      <w:szCs w:val="21"/>
                      <w:lang w:val="en-US" w:eastAsia="zh-CN"/>
                    </w:rPr>
                    <w:t>本项目不涉及水源地保护区。</w:t>
                  </w:r>
                </w:p>
              </w:tc>
              <w:tc>
                <w:tcPr>
                  <w:tcW w:w="441"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eastAsia="宋体" w:cs="Times New Roman"/>
                      <w:b w:val="0"/>
                      <w:bCs w:val="0"/>
                      <w:color w:val="0000FF"/>
                      <w:sz w:val="21"/>
                      <w:szCs w:val="21"/>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4" w:hRule="atLeast"/>
                <w:jc w:val="center"/>
              </w:trPr>
              <w:tc>
                <w:tcPr>
                  <w:tcW w:w="71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污染排放管控</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eastAsia="宋体" w:cs="Times New Roman"/>
                      <w:b w:val="0"/>
                      <w:bCs w:val="0"/>
                      <w:color w:val="0000FF"/>
                      <w:sz w:val="21"/>
                      <w:szCs w:val="21"/>
                      <w:lang w:val="en-US" w:eastAsia="zh-CN"/>
                    </w:rPr>
                    <w:t>/</w:t>
                  </w:r>
                </w:p>
              </w:tc>
              <w:tc>
                <w:tcPr>
                  <w:tcW w:w="2061"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eastAsia" w:cs="Times New Roman"/>
                      <w:b w:val="0"/>
                      <w:bCs w:val="0"/>
                      <w:color w:val="0000FF"/>
                      <w:sz w:val="21"/>
                      <w:szCs w:val="21"/>
                      <w:lang w:val="en-US" w:eastAsia="zh-CN"/>
                    </w:rPr>
                    <w:t>/</w:t>
                  </w:r>
                </w:p>
              </w:tc>
              <w:tc>
                <w:tcPr>
                  <w:tcW w:w="441"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cs="Times New Roman"/>
                      <w:b w:val="0"/>
                      <w:bCs w:val="0"/>
                      <w:color w:val="0000FF"/>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4" w:hRule="atLeast"/>
                <w:jc w:val="center"/>
              </w:trPr>
              <w:tc>
                <w:tcPr>
                  <w:tcW w:w="71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环境风险防控</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eastAsia="宋体" w:cs="Times New Roman"/>
                      <w:b w:val="0"/>
                      <w:bCs w:val="0"/>
                      <w:color w:val="0000FF"/>
                      <w:sz w:val="21"/>
                      <w:szCs w:val="21"/>
                      <w:lang w:val="en-US" w:eastAsia="zh-CN"/>
                    </w:rPr>
                    <w:t>/</w:t>
                  </w:r>
                </w:p>
              </w:tc>
              <w:tc>
                <w:tcPr>
                  <w:tcW w:w="2061"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eastAsia" w:cs="Times New Roman"/>
                      <w:b w:val="0"/>
                      <w:bCs w:val="0"/>
                      <w:color w:val="0000FF"/>
                      <w:sz w:val="21"/>
                      <w:szCs w:val="21"/>
                      <w:lang w:val="en-US" w:eastAsia="zh-CN"/>
                    </w:rPr>
                    <w:t>/</w:t>
                  </w:r>
                </w:p>
              </w:tc>
              <w:tc>
                <w:tcPr>
                  <w:tcW w:w="441"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cs="Times New Roman"/>
                      <w:b w:val="0"/>
                      <w:bCs w:val="0"/>
                      <w:color w:val="0000FF"/>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资源开发效率</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eastAsia="宋体" w:cs="Times New Roman"/>
                      <w:b w:val="0"/>
                      <w:bCs w:val="0"/>
                      <w:color w:val="0000FF"/>
                      <w:sz w:val="21"/>
                      <w:szCs w:val="21"/>
                      <w:lang w:val="en-US" w:eastAsia="zh-CN"/>
                    </w:rPr>
                    <w:t>/</w:t>
                  </w:r>
                </w:p>
              </w:tc>
              <w:tc>
                <w:tcPr>
                  <w:tcW w:w="2061" w:type="pct"/>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eastAsia" w:eastAsia="宋体" w:cs="Times New Roman"/>
                      <w:b w:val="0"/>
                      <w:bCs w:val="0"/>
                      <w:color w:val="0000FF"/>
                      <w:sz w:val="21"/>
                      <w:szCs w:val="21"/>
                      <w:lang w:val="en-US" w:eastAsia="zh-CN"/>
                    </w:rPr>
                    <w:t>/</w:t>
                  </w:r>
                </w:p>
              </w:tc>
              <w:tc>
                <w:tcPr>
                  <w:tcW w:w="441" w:type="pc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eastAsia" w:eastAsia="宋体" w:cs="Times New Roman"/>
                      <w:b w:val="0"/>
                      <w:bCs w:val="0"/>
                      <w:color w:val="0000FF"/>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类别</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准入清单管控要求</w:t>
                  </w:r>
                </w:p>
              </w:tc>
              <w:tc>
                <w:tcPr>
                  <w:tcW w:w="206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本项目情况</w:t>
                  </w:r>
                </w:p>
              </w:tc>
              <w:tc>
                <w:tcPr>
                  <w:tcW w:w="44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符合性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管控单元名称</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kern w:val="2"/>
                      <w:sz w:val="21"/>
                      <w:szCs w:val="21"/>
                      <w:lang w:val="en-US" w:eastAsia="zh-CN" w:bidi="ar-SA"/>
                    </w:rPr>
                    <w:t>泾源县固原颉河自治区级湿地自然公园优先保护</w:t>
                  </w:r>
                  <w:r>
                    <w:rPr>
                      <w:rFonts w:hint="eastAsia" w:cs="Times New Roman"/>
                      <w:b/>
                      <w:bCs/>
                      <w:color w:val="0000FF"/>
                      <w:kern w:val="2"/>
                      <w:sz w:val="21"/>
                      <w:szCs w:val="21"/>
                      <w:lang w:val="en-US" w:eastAsia="zh-CN" w:bidi="ar-SA"/>
                    </w:rPr>
                    <w:t>单元</w:t>
                  </w:r>
                </w:p>
              </w:tc>
              <w:tc>
                <w:tcPr>
                  <w:tcW w:w="2061" w:type="pct"/>
                  <w:vMerge w:val="restar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大湾乡养菌棚改造及木耳配套设施建设工程位于</w:t>
                  </w:r>
                  <w:r>
                    <w:rPr>
                      <w:rFonts w:hint="default" w:ascii="Times New Roman" w:hAnsi="Times New Roman" w:eastAsia="宋体" w:cs="Times New Roman"/>
                      <w:b/>
                      <w:bCs/>
                      <w:color w:val="0000FF"/>
                      <w:kern w:val="2"/>
                      <w:sz w:val="21"/>
                      <w:szCs w:val="21"/>
                      <w:lang w:val="en-US" w:eastAsia="zh-CN" w:bidi="ar-SA"/>
                    </w:rPr>
                    <w:t>泾源县贺家湾水库水源地优先保护单元</w:t>
                  </w:r>
                </w:p>
              </w:tc>
              <w:tc>
                <w:tcPr>
                  <w:tcW w:w="441" w:type="pct"/>
                  <w:vMerge w:val="restar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序号</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eastAsia" w:ascii="Times New Roman" w:hAnsi="Times New Roman" w:eastAsia="宋体" w:cs="Times New Roman"/>
                      <w:b/>
                      <w:bCs/>
                      <w:color w:val="0000FF"/>
                      <w:kern w:val="2"/>
                      <w:sz w:val="21"/>
                      <w:szCs w:val="21"/>
                      <w:lang w:val="en-US" w:eastAsia="zh-CN" w:bidi="ar-SA"/>
                    </w:rPr>
                    <w:t>ZH64042410005</w:t>
                  </w:r>
                </w:p>
              </w:tc>
              <w:tc>
                <w:tcPr>
                  <w:tcW w:w="2061" w:type="pct"/>
                  <w:vMerge w:val="continue"/>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eastAsia="宋体" w:cs="Times New Roman"/>
                      <w:b/>
                      <w:bCs/>
                      <w:color w:val="0000FF"/>
                      <w:sz w:val="21"/>
                      <w:szCs w:val="21"/>
                      <w:lang w:val="en-US" w:eastAsia="zh-CN"/>
                    </w:rPr>
                  </w:pPr>
                </w:p>
              </w:tc>
              <w:tc>
                <w:tcPr>
                  <w:tcW w:w="441" w:type="pct"/>
                  <w:vMerge w:val="continue"/>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eastAsia="宋体" w:cs="Times New Roman"/>
                      <w:b/>
                      <w:bCs/>
                      <w:color w:val="0000FF"/>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kern w:val="2"/>
                      <w:sz w:val="21"/>
                      <w:szCs w:val="21"/>
                      <w:lang w:val="en-US" w:eastAsia="zh-CN" w:bidi="ar-SA"/>
                    </w:rPr>
                    <w:t>要素属性</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eastAsia" w:cs="Times New Roman"/>
                      <w:b/>
                      <w:bCs/>
                      <w:color w:val="0000FF"/>
                      <w:kern w:val="2"/>
                      <w:sz w:val="21"/>
                      <w:szCs w:val="21"/>
                      <w:lang w:val="en-US" w:eastAsia="zh-CN" w:bidi="ar-SA"/>
                    </w:rPr>
                    <w:t>贺</w:t>
                  </w:r>
                  <w:r>
                    <w:rPr>
                      <w:rFonts w:hint="default" w:ascii="Times New Roman" w:hAnsi="Times New Roman" w:eastAsia="宋体" w:cs="Times New Roman"/>
                      <w:b/>
                      <w:bCs/>
                      <w:color w:val="0000FF"/>
                      <w:kern w:val="2"/>
                      <w:sz w:val="21"/>
                      <w:szCs w:val="21"/>
                      <w:lang w:val="en-US" w:eastAsia="zh-CN" w:bidi="ar-SA"/>
                    </w:rPr>
                    <w:t>家湾水库水源地</w:t>
                  </w:r>
                </w:p>
              </w:tc>
              <w:tc>
                <w:tcPr>
                  <w:tcW w:w="2061" w:type="pct"/>
                  <w:vMerge w:val="continue"/>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eastAsia="宋体" w:cs="Times New Roman"/>
                      <w:b/>
                      <w:bCs/>
                      <w:color w:val="0000FF"/>
                      <w:sz w:val="21"/>
                      <w:szCs w:val="21"/>
                      <w:lang w:val="en-US" w:eastAsia="zh-CN"/>
                    </w:rPr>
                  </w:pPr>
                </w:p>
              </w:tc>
              <w:tc>
                <w:tcPr>
                  <w:tcW w:w="441" w:type="pct"/>
                  <w:vMerge w:val="continue"/>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eastAsia="宋体" w:cs="Times New Roman"/>
                      <w:b/>
                      <w:bCs/>
                      <w:color w:val="0000FF"/>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18"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cs="Times New Roman"/>
                      <w:b w:val="0"/>
                      <w:bCs w:val="0"/>
                      <w:color w:val="0000FF"/>
                      <w:kern w:val="2"/>
                      <w:sz w:val="21"/>
                      <w:szCs w:val="21"/>
                      <w:lang w:val="en-US" w:eastAsia="zh-CN" w:bidi="ar-SA"/>
                    </w:rPr>
                  </w:pPr>
                  <w:r>
                    <w:rPr>
                      <w:rFonts w:hint="default" w:cs="Times New Roman"/>
                      <w:b w:val="0"/>
                      <w:bCs w:val="0"/>
                      <w:color w:val="0000FF"/>
                      <w:kern w:val="2"/>
                      <w:sz w:val="21"/>
                      <w:szCs w:val="21"/>
                      <w:lang w:val="en-US" w:eastAsia="zh-CN" w:bidi="ar-SA"/>
                    </w:rPr>
                    <w:t>空间布局约束</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cs="Times New Roman"/>
                      <w:b w:val="0"/>
                      <w:bCs w:val="0"/>
                      <w:color w:val="0000FF"/>
                      <w:kern w:val="2"/>
                      <w:sz w:val="21"/>
                      <w:szCs w:val="21"/>
                      <w:lang w:val="en-US" w:eastAsia="zh-CN" w:bidi="ar-SA"/>
                    </w:rPr>
                  </w:pPr>
                  <w:r>
                    <w:rPr>
                      <w:rFonts w:hint="eastAsia" w:cs="Times New Roman"/>
                      <w:b w:val="0"/>
                      <w:bCs w:val="0"/>
                      <w:color w:val="0000FF"/>
                      <w:kern w:val="2"/>
                      <w:sz w:val="21"/>
                      <w:szCs w:val="21"/>
                      <w:lang w:val="en-US" w:eastAsia="zh-CN" w:bidi="ar-SA"/>
                    </w:rPr>
                    <w:t>1.贺家湾水库水源地保护区参照相关法律法规的要求进行管理。</w:t>
                  </w:r>
                </w:p>
              </w:tc>
              <w:tc>
                <w:tcPr>
                  <w:tcW w:w="206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cs="Times New Roman"/>
                      <w:b w:val="0"/>
                      <w:bCs w:val="0"/>
                      <w:color w:val="0000FF"/>
                      <w:sz w:val="21"/>
                      <w:szCs w:val="21"/>
                      <w:lang w:val="en-US" w:eastAsia="zh-CN"/>
                    </w:rPr>
                    <w:t>本项目不涉及水源地保护区。</w:t>
                  </w:r>
                </w:p>
              </w:tc>
              <w:tc>
                <w:tcPr>
                  <w:tcW w:w="44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污染排放管控</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eastAsia="宋体" w:cs="Times New Roman"/>
                      <w:b w:val="0"/>
                      <w:bCs w:val="0"/>
                      <w:color w:val="0000FF"/>
                      <w:sz w:val="21"/>
                      <w:szCs w:val="21"/>
                      <w:lang w:val="en-US" w:eastAsia="zh-CN"/>
                    </w:rPr>
                    <w:t>/</w:t>
                  </w:r>
                </w:p>
              </w:tc>
              <w:tc>
                <w:tcPr>
                  <w:tcW w:w="206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cs="Times New Roman"/>
                      <w:b w:val="0"/>
                      <w:bCs w:val="0"/>
                      <w:color w:val="0000FF"/>
                      <w:kern w:val="2"/>
                      <w:sz w:val="21"/>
                      <w:szCs w:val="21"/>
                      <w:lang w:val="en-US" w:eastAsia="zh-CN" w:bidi="ar-SA"/>
                    </w:rPr>
                    <w:t>/</w:t>
                  </w:r>
                </w:p>
              </w:tc>
              <w:tc>
                <w:tcPr>
                  <w:tcW w:w="441" w:type="pct"/>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default" w:ascii="Times New Roman" w:hAnsi="Times New Roman" w:cs="Times New Roman"/>
                      <w:b w:val="0"/>
                      <w:bCs w:val="0"/>
                      <w:color w:val="0000FF"/>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环境风险防控</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eastAsia="宋体" w:cs="Times New Roman"/>
                      <w:b w:val="0"/>
                      <w:bCs w:val="0"/>
                      <w:color w:val="0000FF"/>
                      <w:sz w:val="21"/>
                      <w:szCs w:val="21"/>
                      <w:lang w:val="en-US" w:eastAsia="zh-CN"/>
                    </w:rPr>
                    <w:t>/</w:t>
                  </w:r>
                </w:p>
              </w:tc>
              <w:tc>
                <w:tcPr>
                  <w:tcW w:w="206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cs="Times New Roman"/>
                      <w:b w:val="0"/>
                      <w:bCs w:val="0"/>
                      <w:color w:val="0000FF"/>
                      <w:kern w:val="2"/>
                      <w:sz w:val="21"/>
                      <w:szCs w:val="21"/>
                      <w:lang w:val="en-US" w:eastAsia="zh-CN" w:bidi="ar-SA"/>
                    </w:rPr>
                    <w:t>/</w:t>
                  </w:r>
                </w:p>
              </w:tc>
              <w:tc>
                <w:tcPr>
                  <w:tcW w:w="441" w:type="pct"/>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default" w:ascii="Times New Roman" w:hAnsi="Times New Roman" w:cs="Times New Roman"/>
                      <w:b w:val="0"/>
                      <w:bCs w:val="0"/>
                      <w:color w:val="0000FF"/>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资源开发效率</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eastAsia="宋体" w:cs="Times New Roman"/>
                      <w:b w:val="0"/>
                      <w:bCs w:val="0"/>
                      <w:color w:val="0000FF"/>
                      <w:sz w:val="21"/>
                      <w:szCs w:val="21"/>
                      <w:lang w:val="en-US" w:eastAsia="zh-CN"/>
                    </w:rPr>
                    <w:t>/</w:t>
                  </w:r>
                </w:p>
              </w:tc>
              <w:tc>
                <w:tcPr>
                  <w:tcW w:w="206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cs="Times New Roman"/>
                      <w:b w:val="0"/>
                      <w:bCs w:val="0"/>
                      <w:color w:val="0000FF"/>
                      <w:kern w:val="2"/>
                      <w:sz w:val="21"/>
                      <w:szCs w:val="21"/>
                      <w:lang w:val="en-US" w:eastAsia="zh-CN" w:bidi="ar-SA"/>
                    </w:rPr>
                    <w:t>/</w:t>
                  </w:r>
                </w:p>
              </w:tc>
              <w:tc>
                <w:tcPr>
                  <w:tcW w:w="441" w:type="pct"/>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eastAsia="宋体" w:cs="Times New Roman"/>
                      <w:b w:val="0"/>
                      <w:bCs w:val="0"/>
                      <w:color w:val="0000FF"/>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类别</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准入清单管控要求</w:t>
                  </w:r>
                </w:p>
              </w:tc>
              <w:tc>
                <w:tcPr>
                  <w:tcW w:w="206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本项目情况</w:t>
                  </w:r>
                </w:p>
              </w:tc>
              <w:tc>
                <w:tcPr>
                  <w:tcW w:w="44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符合性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管控单元名称</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ascii="Times New Roman" w:hAnsi="Times New Roman" w:eastAsia="宋体" w:cs="Times New Roman"/>
                      <w:b w:val="0"/>
                      <w:bCs w:val="0"/>
                      <w:color w:val="0000FF"/>
                      <w:kern w:val="2"/>
                      <w:sz w:val="21"/>
                      <w:szCs w:val="21"/>
                      <w:lang w:val="en-US" w:eastAsia="zh-CN" w:bidi="ar-SA"/>
                    </w:rPr>
                    <w:t>泾源县重点管控单元1</w:t>
                  </w:r>
                </w:p>
              </w:tc>
              <w:tc>
                <w:tcPr>
                  <w:tcW w:w="2061" w:type="pct"/>
                  <w:vMerge w:val="restar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香水镇卡子村菌菇产业提质扩量建设工程</w:t>
                  </w:r>
                  <w:r>
                    <w:rPr>
                      <w:rFonts w:hint="eastAsia" w:cs="Times New Roman"/>
                      <w:b w:val="0"/>
                      <w:bCs w:val="0"/>
                      <w:color w:val="0000FF"/>
                      <w:sz w:val="21"/>
                      <w:szCs w:val="21"/>
                      <w:lang w:val="en-US" w:eastAsia="zh-CN"/>
                    </w:rPr>
                    <w:t>、香水镇米岗村新建菌菇棚建设工程</w:t>
                  </w:r>
                  <w:r>
                    <w:rPr>
                      <w:rFonts w:hint="default" w:ascii="Times New Roman" w:hAnsi="Times New Roman" w:eastAsia="宋体" w:cs="Times New Roman"/>
                      <w:b w:val="0"/>
                      <w:bCs w:val="0"/>
                      <w:color w:val="0000FF"/>
                      <w:sz w:val="21"/>
                      <w:szCs w:val="21"/>
                      <w:lang w:val="en-US" w:eastAsia="zh-CN"/>
                    </w:rPr>
                    <w:t>位于</w:t>
                  </w:r>
                  <w:r>
                    <w:rPr>
                      <w:rFonts w:hint="eastAsia" w:ascii="Times New Roman" w:hAnsi="Times New Roman" w:eastAsia="宋体" w:cs="Times New Roman"/>
                      <w:b w:val="0"/>
                      <w:bCs w:val="0"/>
                      <w:color w:val="0000FF"/>
                      <w:kern w:val="2"/>
                      <w:sz w:val="21"/>
                      <w:szCs w:val="21"/>
                      <w:lang w:val="en-US" w:eastAsia="zh-CN" w:bidi="ar-SA"/>
                    </w:rPr>
                    <w:t>泾源县重点管控单元1</w:t>
                  </w:r>
                </w:p>
              </w:tc>
              <w:tc>
                <w:tcPr>
                  <w:tcW w:w="441" w:type="pct"/>
                  <w:vMerge w:val="restar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序号</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ascii="Times New Roman" w:hAnsi="Times New Roman" w:eastAsia="宋体" w:cs="Times New Roman"/>
                      <w:b w:val="0"/>
                      <w:bCs w:val="0"/>
                      <w:color w:val="0000FF"/>
                      <w:kern w:val="2"/>
                      <w:sz w:val="21"/>
                      <w:szCs w:val="21"/>
                      <w:lang w:val="en-US" w:eastAsia="zh-CN" w:bidi="ar-SA"/>
                    </w:rPr>
                    <w:t>ZH64042420002</w:t>
                  </w:r>
                </w:p>
              </w:tc>
              <w:tc>
                <w:tcPr>
                  <w:tcW w:w="2061" w:type="pct"/>
                  <w:vMerge w:val="continue"/>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lang w:val="en-US" w:eastAsia="zh-CN" w:bidi="ar-SA"/>
                    </w:rPr>
                  </w:pPr>
                </w:p>
              </w:tc>
              <w:tc>
                <w:tcPr>
                  <w:tcW w:w="441" w:type="pct"/>
                  <w:vMerge w:val="continue"/>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eastAsia="宋体" w:cs="Times New Roman"/>
                      <w:b w:val="0"/>
                      <w:bCs w:val="0"/>
                      <w:color w:val="auto"/>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要素属性</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ascii="Times New Roman" w:hAnsi="Times New Roman" w:eastAsia="宋体" w:cs="Times New Roman"/>
                      <w:b w:val="0"/>
                      <w:bCs w:val="0"/>
                      <w:color w:val="0000FF"/>
                      <w:kern w:val="2"/>
                      <w:sz w:val="21"/>
                      <w:szCs w:val="21"/>
                      <w:lang w:val="en-US" w:eastAsia="zh-CN" w:bidi="ar-SA"/>
                    </w:rPr>
                    <w:t>大气环境受体敏感区＋高污染燃料禁区</w:t>
                  </w:r>
                </w:p>
              </w:tc>
              <w:tc>
                <w:tcPr>
                  <w:tcW w:w="2061" w:type="pct"/>
                  <w:vMerge w:val="continue"/>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lang w:val="en-US" w:eastAsia="zh-CN" w:bidi="ar-SA"/>
                    </w:rPr>
                  </w:pPr>
                </w:p>
              </w:tc>
              <w:tc>
                <w:tcPr>
                  <w:tcW w:w="441" w:type="pct"/>
                  <w:vMerge w:val="continue"/>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eastAsia="宋体" w:cs="Times New Roman"/>
                      <w:b w:val="0"/>
                      <w:bCs w:val="0"/>
                      <w:color w:val="auto"/>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148"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kern w:val="2"/>
                      <w:sz w:val="21"/>
                      <w:szCs w:val="21"/>
                      <w:lang w:val="en-US" w:eastAsia="zh-CN" w:bidi="ar-SA"/>
                    </w:rPr>
                    <w:t>空间布局约束</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ascii="Times New Roman" w:hAnsi="Times New Roman" w:eastAsia="宋体" w:cs="Times New Roman"/>
                      <w:b w:val="0"/>
                      <w:bCs w:val="0"/>
                      <w:color w:val="0000FF"/>
                      <w:kern w:val="2"/>
                      <w:sz w:val="21"/>
                      <w:szCs w:val="21"/>
                      <w:lang w:val="en-US" w:eastAsia="zh-CN" w:bidi="ar-SA"/>
                    </w:rPr>
                    <w:t>1.禁止新建涉及大规模排放大气污染物和VOCs排放的工业项目。</w:t>
                  </w:r>
                </w:p>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ascii="Times New Roman" w:hAnsi="Times New Roman" w:eastAsia="宋体" w:cs="Times New Roman"/>
                      <w:b w:val="0"/>
                      <w:bCs w:val="0"/>
                      <w:color w:val="0000FF"/>
                      <w:kern w:val="2"/>
                      <w:sz w:val="21"/>
                      <w:szCs w:val="21"/>
                      <w:lang w:val="en-US" w:eastAsia="zh-CN" w:bidi="ar-SA"/>
                    </w:rPr>
                    <w:t>2.禁止新建涉及有毒有害大气污染物排放的项目。3.严格限制新建涉及恶臭污染物、颗粒物无组织排放的项目。</w:t>
                  </w:r>
                </w:p>
              </w:tc>
              <w:tc>
                <w:tcPr>
                  <w:tcW w:w="206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香水镇卡子村菌菇产业提质扩量建设工程</w:t>
                  </w:r>
                  <w:r>
                    <w:rPr>
                      <w:rFonts w:hint="eastAsia" w:cs="Times New Roman"/>
                      <w:b w:val="0"/>
                      <w:bCs w:val="0"/>
                      <w:color w:val="0000FF"/>
                      <w:sz w:val="21"/>
                      <w:szCs w:val="21"/>
                      <w:lang w:val="en-US" w:eastAsia="zh-CN"/>
                    </w:rPr>
                    <w:t>、香水镇米岗村新建菌菇棚建设工程</w:t>
                  </w:r>
                  <w:r>
                    <w:rPr>
                      <w:rFonts w:hint="eastAsia" w:cs="Times New Roman"/>
                      <w:b w:val="0"/>
                      <w:bCs w:val="0"/>
                      <w:color w:val="0000FF"/>
                      <w:kern w:val="2"/>
                      <w:sz w:val="21"/>
                      <w:szCs w:val="21"/>
                      <w:lang w:val="en-US" w:eastAsia="zh-CN" w:bidi="ar-SA"/>
                    </w:rPr>
                    <w:t>不涉及</w:t>
                  </w:r>
                  <w:r>
                    <w:rPr>
                      <w:rFonts w:hint="eastAsia" w:ascii="Times New Roman" w:hAnsi="Times New Roman" w:eastAsia="宋体" w:cs="Times New Roman"/>
                      <w:b w:val="0"/>
                      <w:bCs w:val="0"/>
                      <w:color w:val="0000FF"/>
                      <w:kern w:val="2"/>
                      <w:sz w:val="21"/>
                      <w:szCs w:val="21"/>
                      <w:lang w:val="en-US" w:eastAsia="zh-CN" w:bidi="ar-SA"/>
                    </w:rPr>
                    <w:t>VOCs</w:t>
                  </w:r>
                  <w:r>
                    <w:rPr>
                      <w:rFonts w:hint="eastAsia" w:cs="Times New Roman"/>
                      <w:b w:val="0"/>
                      <w:bCs w:val="0"/>
                      <w:color w:val="0000FF"/>
                      <w:kern w:val="2"/>
                      <w:sz w:val="21"/>
                      <w:szCs w:val="21"/>
                      <w:lang w:val="en-US" w:eastAsia="zh-CN" w:bidi="ar-SA"/>
                    </w:rPr>
                    <w:t>排放，不涉及有毒有害带去污染物，不涉及恶臭、颗粒物排放。</w:t>
                  </w:r>
                </w:p>
              </w:tc>
              <w:tc>
                <w:tcPr>
                  <w:tcW w:w="44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cs="Times New Roman"/>
                      <w:b w:val="0"/>
                      <w:bCs w:val="0"/>
                      <w:color w:val="0000FF"/>
                      <w:kern w:val="2"/>
                      <w:sz w:val="21"/>
                      <w:szCs w:val="21"/>
                      <w:lang w:val="en-US" w:eastAsia="zh-CN" w:bidi="ar-SA"/>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污染排放管控</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ascii="Times New Roman" w:hAnsi="Times New Roman" w:eastAsia="宋体" w:cs="Times New Roman"/>
                      <w:b w:val="0"/>
                      <w:bCs w:val="0"/>
                      <w:color w:val="0000FF"/>
                      <w:kern w:val="2"/>
                      <w:sz w:val="21"/>
                      <w:szCs w:val="21"/>
                      <w:lang w:val="en-US" w:eastAsia="zh-CN" w:bidi="ar-SA"/>
                    </w:rPr>
                    <w:t>泾源县集中供热有限责任公司应采取有效措施，减小燃煤、灰渣等物料贮存转运产生的颗粒物排放。（超低排放改造）</w:t>
                  </w:r>
                </w:p>
              </w:tc>
              <w:tc>
                <w:tcPr>
                  <w:tcW w:w="206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sz w:val="21"/>
                      <w:szCs w:val="21"/>
                      <w:lang w:val="en-US" w:eastAsia="zh-CN"/>
                    </w:rPr>
                    <w:t>本项目涉及</w:t>
                  </w:r>
                </w:p>
              </w:tc>
              <w:tc>
                <w:tcPr>
                  <w:tcW w:w="441" w:type="pct"/>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sz w:val="21"/>
                      <w:szCs w:val="21"/>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环境风险防控</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ascii="Times New Roman" w:hAnsi="Times New Roman" w:eastAsia="宋体" w:cs="Times New Roman"/>
                      <w:b w:val="0"/>
                      <w:bCs w:val="0"/>
                      <w:color w:val="0000FF"/>
                      <w:kern w:val="2"/>
                      <w:sz w:val="21"/>
                      <w:szCs w:val="21"/>
                      <w:lang w:val="en-US" w:eastAsia="zh-CN" w:bidi="ar-SA"/>
                    </w:rPr>
                    <w:t>泾源县供排水总公司泾源县污水处理厂应配套有效措施，防止因渗漏污染地下水、土壤，以及因事故造成废水直排污染水体。</w:t>
                  </w:r>
                </w:p>
              </w:tc>
              <w:tc>
                <w:tcPr>
                  <w:tcW w:w="206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香水镇卡子村菌菇产业提质扩量建设工程</w:t>
                  </w:r>
                  <w:r>
                    <w:rPr>
                      <w:rFonts w:hint="eastAsia" w:cs="Times New Roman"/>
                      <w:b w:val="0"/>
                      <w:bCs w:val="0"/>
                      <w:color w:val="0000FF"/>
                      <w:sz w:val="21"/>
                      <w:szCs w:val="21"/>
                      <w:lang w:val="en-US" w:eastAsia="zh-CN"/>
                    </w:rPr>
                    <w:t>、香水镇米岗村新建菌菇棚建设工程生活污水利用周边居民旱厕，定期清掏，用于周边农田施肥。少量盥洗废水用于泼洒抑尘。</w:t>
                  </w:r>
                </w:p>
              </w:tc>
              <w:tc>
                <w:tcPr>
                  <w:tcW w:w="441" w:type="pct"/>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cs="Times New Roman"/>
                      <w:b w:val="0"/>
                      <w:bCs w:val="0"/>
                      <w:color w:val="0000FF"/>
                      <w:sz w:val="21"/>
                      <w:szCs w:val="21"/>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资源开发效率</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ascii="Times New Roman" w:hAnsi="Times New Roman" w:eastAsia="宋体" w:cs="Times New Roman"/>
                      <w:b w:val="0"/>
                      <w:bCs w:val="0"/>
                      <w:color w:val="0000FF"/>
                      <w:kern w:val="2"/>
                      <w:sz w:val="21"/>
                      <w:szCs w:val="21"/>
                      <w:lang w:val="en-US" w:eastAsia="zh-CN" w:bidi="ar-SA"/>
                    </w:rPr>
                    <w:t>高污染燃料限制使用范围内禁止销售和使用高硫高灰分劣质煤，必须使用硫分小于0.8%、灰分小于15%的优质燃煤。</w:t>
                  </w:r>
                </w:p>
              </w:tc>
              <w:tc>
                <w:tcPr>
                  <w:tcW w:w="206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cs="Times New Roman"/>
                      <w:b w:val="0"/>
                      <w:bCs w:val="0"/>
                      <w:color w:val="0000FF"/>
                      <w:sz w:val="21"/>
                      <w:szCs w:val="21"/>
                      <w:lang w:val="en-US" w:eastAsia="zh-CN"/>
                    </w:rPr>
                    <w:t>本项目不涉及</w:t>
                  </w:r>
                </w:p>
              </w:tc>
              <w:tc>
                <w:tcPr>
                  <w:tcW w:w="441" w:type="pct"/>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cs="Times New Roman"/>
                      <w:b w:val="0"/>
                      <w:bCs w:val="0"/>
                      <w:color w:val="0000FF"/>
                      <w:sz w:val="21"/>
                      <w:szCs w:val="21"/>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类别</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准入清单管控要求</w:t>
                  </w:r>
                </w:p>
              </w:tc>
              <w:tc>
                <w:tcPr>
                  <w:tcW w:w="206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本项目情况</w:t>
                  </w:r>
                </w:p>
              </w:tc>
              <w:tc>
                <w:tcPr>
                  <w:tcW w:w="44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符合性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管控单元名称</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eastAsia" w:ascii="Times New Roman" w:hAnsi="Times New Roman" w:eastAsia="宋体" w:cs="Times New Roman"/>
                      <w:b/>
                      <w:bCs/>
                      <w:color w:val="0000FF"/>
                      <w:kern w:val="2"/>
                      <w:sz w:val="21"/>
                      <w:szCs w:val="21"/>
                      <w:lang w:val="en-US" w:eastAsia="zh-CN" w:bidi="ar-SA"/>
                    </w:rPr>
                    <w:t>泾源县一般管控单元1</w:t>
                  </w:r>
                </w:p>
              </w:tc>
              <w:tc>
                <w:tcPr>
                  <w:tcW w:w="2061" w:type="pct"/>
                  <w:vMerge w:val="restar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兴盛乡兴盛村特色农业设施大棚位于</w:t>
                  </w:r>
                  <w:r>
                    <w:rPr>
                      <w:rFonts w:hint="eastAsia" w:ascii="Times New Roman" w:hAnsi="Times New Roman" w:eastAsia="宋体" w:cs="Times New Roman"/>
                      <w:b/>
                      <w:bCs/>
                      <w:color w:val="0000FF"/>
                      <w:kern w:val="2"/>
                      <w:sz w:val="21"/>
                      <w:szCs w:val="21"/>
                      <w:lang w:val="en-US" w:eastAsia="zh-CN" w:bidi="ar-SA"/>
                    </w:rPr>
                    <w:t>泾源县一般管控单元1</w:t>
                  </w:r>
                </w:p>
              </w:tc>
              <w:tc>
                <w:tcPr>
                  <w:tcW w:w="441" w:type="pct"/>
                  <w:vMerge w:val="restar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lang w:val="en-US" w:eastAsia="zh-CN"/>
                    </w:rPr>
                    <w:t>序号</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FF"/>
                      <w:kern w:val="2"/>
                      <w:sz w:val="21"/>
                      <w:szCs w:val="21"/>
                      <w:lang w:val="en-US" w:eastAsia="zh-CN" w:bidi="ar-SA"/>
                    </w:rPr>
                  </w:pPr>
                  <w:r>
                    <w:rPr>
                      <w:rFonts w:hint="eastAsia" w:ascii="Times New Roman" w:hAnsi="Times New Roman" w:eastAsia="宋体" w:cs="Times New Roman"/>
                      <w:b/>
                      <w:bCs/>
                      <w:color w:val="0000FF"/>
                      <w:kern w:val="2"/>
                      <w:sz w:val="21"/>
                      <w:szCs w:val="21"/>
                      <w:lang w:val="en-US" w:eastAsia="zh-CN" w:bidi="ar-SA"/>
                    </w:rPr>
                    <w:t>ZH64042430001</w:t>
                  </w:r>
                </w:p>
              </w:tc>
              <w:tc>
                <w:tcPr>
                  <w:tcW w:w="2061" w:type="pct"/>
                  <w:vMerge w:val="continue"/>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eastAsia="宋体" w:cs="Times New Roman"/>
                      <w:b w:val="0"/>
                      <w:bCs w:val="0"/>
                      <w:color w:val="0000FF"/>
                      <w:sz w:val="21"/>
                      <w:szCs w:val="21"/>
                      <w:lang w:val="en-US" w:eastAsia="zh-CN"/>
                    </w:rPr>
                  </w:pPr>
                </w:p>
              </w:tc>
              <w:tc>
                <w:tcPr>
                  <w:tcW w:w="441" w:type="pct"/>
                  <w:vMerge w:val="continue"/>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eastAsia="宋体" w:cs="Times New Roman"/>
                      <w:b w:val="0"/>
                      <w:bCs w:val="0"/>
                      <w:color w:val="0000FF"/>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要素属性</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cs="Times New Roman"/>
                      <w:b w:val="0"/>
                      <w:bCs w:val="0"/>
                      <w:color w:val="0000FF"/>
                      <w:kern w:val="2"/>
                      <w:sz w:val="21"/>
                      <w:szCs w:val="21"/>
                      <w:lang w:val="en-US" w:eastAsia="zh-CN" w:bidi="ar-SA"/>
                    </w:rPr>
                    <w:t>一般管控区</w:t>
                  </w:r>
                </w:p>
              </w:tc>
              <w:tc>
                <w:tcPr>
                  <w:tcW w:w="2061" w:type="pct"/>
                  <w:vMerge w:val="continue"/>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eastAsia="宋体" w:cs="Times New Roman"/>
                      <w:b w:val="0"/>
                      <w:bCs w:val="0"/>
                      <w:color w:val="0000FF"/>
                      <w:sz w:val="21"/>
                      <w:szCs w:val="21"/>
                      <w:lang w:val="en-US" w:eastAsia="zh-CN"/>
                    </w:rPr>
                  </w:pPr>
                </w:p>
              </w:tc>
              <w:tc>
                <w:tcPr>
                  <w:tcW w:w="441" w:type="pct"/>
                  <w:vMerge w:val="continue"/>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eastAsia="宋体" w:cs="Times New Roman"/>
                      <w:b w:val="0"/>
                      <w:bCs w:val="0"/>
                      <w:color w:val="0000FF"/>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662"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eastAsia="宋体" w:cs="Times New Roman"/>
                      <w:b w:val="0"/>
                      <w:bCs w:val="0"/>
                      <w:color w:val="0000FF"/>
                      <w:sz w:val="21"/>
                      <w:szCs w:val="21"/>
                      <w:lang w:val="en-US" w:eastAsia="zh-CN"/>
                    </w:rPr>
                    <w:t>空间布局约束</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eastAsia="宋体" w:cs="Times New Roman"/>
                      <w:b w:val="0"/>
                      <w:bCs w:val="0"/>
                      <w:color w:val="0000FF"/>
                      <w:sz w:val="21"/>
                      <w:szCs w:val="21"/>
                      <w:lang w:val="en-US" w:eastAsia="zh-CN"/>
                    </w:rPr>
                    <w:t>1.禁止在二十五度以上陡坡地开垦种植农作物。</w:t>
                  </w:r>
                </w:p>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eastAsia="宋体" w:cs="Times New Roman"/>
                      <w:b w:val="0"/>
                      <w:bCs w:val="0"/>
                      <w:color w:val="0000FF"/>
                      <w:sz w:val="21"/>
                      <w:szCs w:val="21"/>
                      <w:lang w:val="en-US" w:eastAsia="zh-CN"/>
                    </w:rPr>
                    <w:t>2.严格限制占用林地、草地及清水河等河流沿线湿地进行开发建设活动。</w:t>
                  </w:r>
                </w:p>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eastAsia="宋体" w:cs="Times New Roman"/>
                      <w:b w:val="0"/>
                      <w:bCs w:val="0"/>
                      <w:color w:val="0000FF"/>
                      <w:sz w:val="21"/>
                      <w:szCs w:val="21"/>
                      <w:lang w:val="en-US" w:eastAsia="zh-CN"/>
                    </w:rPr>
                    <w:t>3.在满足产业准入、总量控制、排放标准等国家和地方相关管理制度要求的前提下，集约发展。</w:t>
                  </w:r>
                </w:p>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sz w:val="21"/>
                      <w:szCs w:val="21"/>
                      <w:lang w:val="en-US" w:eastAsia="zh-CN"/>
                    </w:rPr>
                  </w:pPr>
                </w:p>
              </w:tc>
              <w:tc>
                <w:tcPr>
                  <w:tcW w:w="206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cs="Times New Roman"/>
                      <w:b w:val="0"/>
                      <w:bCs w:val="0"/>
                      <w:color w:val="0000FF"/>
                      <w:sz w:val="21"/>
                      <w:szCs w:val="21"/>
                      <w:lang w:val="en-US" w:eastAsia="zh-CN"/>
                    </w:rPr>
                    <w:t>1.本项目在现有耕地进行菌菇种植，不涉及在</w:t>
                  </w:r>
                  <w:r>
                    <w:rPr>
                      <w:rFonts w:hint="default" w:ascii="Times New Roman" w:hAnsi="Times New Roman" w:eastAsia="宋体" w:cs="Times New Roman"/>
                      <w:b w:val="0"/>
                      <w:bCs w:val="0"/>
                      <w:color w:val="0000FF"/>
                      <w:kern w:val="2"/>
                      <w:sz w:val="21"/>
                      <w:szCs w:val="21"/>
                      <w:lang w:val="en-US" w:eastAsia="zh-CN" w:bidi="ar-SA"/>
                    </w:rPr>
                    <w:t>二十五度以上陡坡地开垦种植农作物。</w:t>
                  </w:r>
                </w:p>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ascii="Times New Roman" w:hAnsi="Times New Roman" w:eastAsia="宋体" w:cs="Times New Roman"/>
                      <w:b w:val="0"/>
                      <w:bCs w:val="0"/>
                      <w:color w:val="0000FF"/>
                      <w:kern w:val="2"/>
                      <w:sz w:val="21"/>
                      <w:szCs w:val="21"/>
                      <w:lang w:val="en-US" w:eastAsia="zh-CN" w:bidi="ar-SA"/>
                    </w:rPr>
                    <w:t>2</w:t>
                  </w:r>
                  <w:r>
                    <w:rPr>
                      <w:rFonts w:hint="eastAsia" w:cs="Times New Roman"/>
                      <w:b w:val="0"/>
                      <w:bCs w:val="0"/>
                      <w:color w:val="0000FF"/>
                      <w:kern w:val="2"/>
                      <w:sz w:val="21"/>
                      <w:szCs w:val="21"/>
                      <w:lang w:val="en-US" w:eastAsia="zh-CN" w:bidi="ar-SA"/>
                    </w:rPr>
                    <w:t>/3</w:t>
                  </w:r>
                  <w:r>
                    <w:rPr>
                      <w:rFonts w:hint="eastAsia" w:ascii="Times New Roman" w:hAnsi="Times New Roman" w:eastAsia="宋体" w:cs="Times New Roman"/>
                      <w:b w:val="0"/>
                      <w:bCs w:val="0"/>
                      <w:color w:val="0000FF"/>
                      <w:kern w:val="2"/>
                      <w:sz w:val="21"/>
                      <w:szCs w:val="21"/>
                      <w:lang w:val="en-US" w:eastAsia="zh-CN" w:bidi="ar-SA"/>
                    </w:rPr>
                    <w:t>.本项目不涉及。</w:t>
                  </w:r>
                </w:p>
              </w:tc>
              <w:tc>
                <w:tcPr>
                  <w:tcW w:w="44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cs="Times New Roman"/>
                      <w:b w:val="0"/>
                      <w:bCs w:val="0"/>
                      <w:color w:val="0000FF"/>
                      <w:kern w:val="2"/>
                      <w:sz w:val="21"/>
                      <w:szCs w:val="21"/>
                      <w:lang w:val="en-US" w:eastAsia="zh-CN" w:bidi="ar-SA"/>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污染排放管控</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eastAsia="宋体" w:cs="Times New Roman"/>
                      <w:b w:val="0"/>
                      <w:bCs w:val="0"/>
                      <w:color w:val="0000FF"/>
                      <w:sz w:val="21"/>
                      <w:szCs w:val="21"/>
                      <w:lang w:val="en-US" w:eastAsia="zh-CN"/>
                    </w:rPr>
                    <w:t>/</w:t>
                  </w:r>
                </w:p>
              </w:tc>
              <w:tc>
                <w:tcPr>
                  <w:tcW w:w="206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cs="Times New Roman"/>
                      <w:b w:val="0"/>
                      <w:bCs w:val="0"/>
                      <w:color w:val="0000FF"/>
                      <w:sz w:val="21"/>
                      <w:szCs w:val="21"/>
                      <w:lang w:val="en-US" w:eastAsia="zh-CN"/>
                    </w:rPr>
                    <w:t>/</w:t>
                  </w:r>
                </w:p>
              </w:tc>
              <w:tc>
                <w:tcPr>
                  <w:tcW w:w="441" w:type="pct"/>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环境风险防控</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eastAsia="宋体" w:cs="Times New Roman"/>
                      <w:b w:val="0"/>
                      <w:bCs w:val="0"/>
                      <w:color w:val="0000FF"/>
                      <w:sz w:val="21"/>
                      <w:szCs w:val="21"/>
                      <w:lang w:val="en-US" w:eastAsia="zh-CN"/>
                    </w:rPr>
                    <w:t>/</w:t>
                  </w:r>
                </w:p>
              </w:tc>
              <w:tc>
                <w:tcPr>
                  <w:tcW w:w="206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cs="Times New Roman"/>
                      <w:b w:val="0"/>
                      <w:bCs w:val="0"/>
                      <w:color w:val="0000FF"/>
                      <w:sz w:val="21"/>
                      <w:szCs w:val="21"/>
                      <w:lang w:val="en-US" w:eastAsia="zh-CN"/>
                    </w:rPr>
                    <w:t>/</w:t>
                  </w:r>
                </w:p>
              </w:tc>
              <w:tc>
                <w:tcPr>
                  <w:tcW w:w="441" w:type="pct"/>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资源开发效率</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eastAsia="宋体" w:cs="Times New Roman"/>
                      <w:b w:val="0"/>
                      <w:bCs w:val="0"/>
                      <w:color w:val="0000FF"/>
                      <w:sz w:val="21"/>
                      <w:szCs w:val="21"/>
                      <w:lang w:val="en-US" w:eastAsia="zh-CN"/>
                    </w:rPr>
                    <w:t>/</w:t>
                  </w:r>
                </w:p>
              </w:tc>
              <w:tc>
                <w:tcPr>
                  <w:tcW w:w="2061"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0000FF"/>
                      <w:kern w:val="2"/>
                      <w:sz w:val="21"/>
                      <w:szCs w:val="21"/>
                      <w:lang w:val="en-US" w:eastAsia="zh-CN" w:bidi="ar-SA"/>
                    </w:rPr>
                  </w:pPr>
                  <w:r>
                    <w:rPr>
                      <w:rFonts w:hint="eastAsia" w:eastAsia="宋体" w:cs="Times New Roman"/>
                      <w:b w:val="0"/>
                      <w:bCs w:val="0"/>
                      <w:color w:val="0000FF"/>
                      <w:sz w:val="21"/>
                      <w:szCs w:val="21"/>
                      <w:lang w:val="en-US" w:eastAsia="zh-CN"/>
                    </w:rPr>
                    <w:t>/</w:t>
                  </w:r>
                </w:p>
              </w:tc>
              <w:tc>
                <w:tcPr>
                  <w:tcW w:w="441" w:type="pct"/>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eastAsia" w:eastAsia="宋体" w:cs="Times New Roman"/>
                      <w:b w:val="0"/>
                      <w:bCs w:val="0"/>
                      <w:color w:val="auto"/>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48" w:hRule="atLeast"/>
                <w:jc w:val="center"/>
              </w:trPr>
              <w:tc>
                <w:tcPr>
                  <w:tcW w:w="713"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类别</w:t>
                  </w:r>
                </w:p>
              </w:tc>
              <w:tc>
                <w:tcPr>
                  <w:tcW w:w="1783"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准入清单管控要求</w:t>
                  </w:r>
                </w:p>
              </w:tc>
              <w:tc>
                <w:tcPr>
                  <w:tcW w:w="2061"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本项目情况</w:t>
                  </w:r>
                </w:p>
              </w:tc>
              <w:tc>
                <w:tcPr>
                  <w:tcW w:w="441"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符合性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1" w:hRule="atLeast"/>
                <w:jc w:val="center"/>
              </w:trPr>
              <w:tc>
                <w:tcPr>
                  <w:tcW w:w="713"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管控单元名称</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kern w:val="2"/>
                      <w:sz w:val="21"/>
                      <w:szCs w:val="21"/>
                      <w:lang w:val="en-US" w:eastAsia="zh-CN" w:bidi="ar-SA"/>
                    </w:rPr>
                    <w:t>泾源县优先保护单元2</w:t>
                  </w:r>
                </w:p>
              </w:tc>
              <w:tc>
                <w:tcPr>
                  <w:tcW w:w="2061" w:type="pct"/>
                  <w:vMerge w:val="restar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泾河源镇白面村新建菌菇棚建设工程</w:t>
                  </w:r>
                  <w:r>
                    <w:rPr>
                      <w:rFonts w:hint="eastAsia" w:cs="Times New Roman"/>
                      <w:b/>
                      <w:bCs/>
                      <w:color w:val="0000FF"/>
                      <w:sz w:val="21"/>
                      <w:szCs w:val="21"/>
                      <w:lang w:val="en-US" w:eastAsia="zh-CN"/>
                    </w:rPr>
                    <w:t>、</w:t>
                  </w:r>
                  <w:r>
                    <w:rPr>
                      <w:rFonts w:hint="default" w:ascii="Times New Roman" w:hAnsi="Times New Roman" w:eastAsia="宋体" w:cs="Times New Roman"/>
                      <w:b/>
                      <w:bCs/>
                      <w:color w:val="0000FF"/>
                      <w:sz w:val="21"/>
                      <w:szCs w:val="21"/>
                      <w:lang w:val="en-US" w:eastAsia="zh-CN"/>
                    </w:rPr>
                    <w:t>泾河源镇白面村菌菇产业园区建设工程位于泾源县优先保护单元2</w:t>
                  </w:r>
                </w:p>
              </w:tc>
              <w:tc>
                <w:tcPr>
                  <w:tcW w:w="441" w:type="pct"/>
                  <w:vMerge w:val="restart"/>
                  <w:tcBorders>
                    <w:tl2br w:val="nil"/>
                    <w:tr2bl w:val="nil"/>
                  </w:tcBorders>
                  <w:noWrap w:val="0"/>
                  <w:tcMar>
                    <w:top w:w="0" w:type="dxa"/>
                    <w:left w:w="28" w:type="dxa"/>
                    <w:bottom w:w="0" w:type="dxa"/>
                    <w:right w:w="28" w:type="dxa"/>
                  </w:tcMar>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38" w:hRule="atLeast"/>
                <w:jc w:val="center"/>
              </w:trPr>
              <w:tc>
                <w:tcPr>
                  <w:tcW w:w="713"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序号</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kern w:val="2"/>
                      <w:sz w:val="21"/>
                      <w:szCs w:val="21"/>
                      <w:lang w:val="en-US" w:eastAsia="zh-CN" w:bidi="ar-SA"/>
                    </w:rPr>
                    <w:t>ZH64042410010</w:t>
                  </w:r>
                </w:p>
              </w:tc>
              <w:tc>
                <w:tcPr>
                  <w:tcW w:w="2061" w:type="pct"/>
                  <w:vMerge w:val="continue"/>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p>
              </w:tc>
              <w:tc>
                <w:tcPr>
                  <w:tcW w:w="441" w:type="pct"/>
                  <w:vMerge w:val="continue"/>
                  <w:tcBorders>
                    <w:tl2br w:val="nil"/>
                    <w:tr2bl w:val="nil"/>
                  </w:tcBorders>
                  <w:noWrap w:val="0"/>
                  <w:tcMar>
                    <w:top w:w="0" w:type="dxa"/>
                    <w:left w:w="28" w:type="dxa"/>
                    <w:bottom w:w="0" w:type="dxa"/>
                    <w:right w:w="28" w:type="dxa"/>
                  </w:tcMar>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713"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要素属性</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kern w:val="2"/>
                      <w:sz w:val="21"/>
                      <w:szCs w:val="21"/>
                      <w:lang w:val="en-US" w:eastAsia="zh-CN" w:bidi="ar-SA"/>
                    </w:rPr>
                    <w:t>生态空间+水环境优保护区</w:t>
                  </w:r>
                </w:p>
              </w:tc>
              <w:tc>
                <w:tcPr>
                  <w:tcW w:w="2061" w:type="pct"/>
                  <w:vMerge w:val="continue"/>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p>
              </w:tc>
              <w:tc>
                <w:tcPr>
                  <w:tcW w:w="441" w:type="pct"/>
                  <w:vMerge w:val="continue"/>
                  <w:tcBorders>
                    <w:tl2br w:val="nil"/>
                    <w:tr2bl w:val="nil"/>
                  </w:tcBorders>
                  <w:noWrap w:val="0"/>
                  <w:tcMar>
                    <w:top w:w="0" w:type="dxa"/>
                    <w:left w:w="28" w:type="dxa"/>
                    <w:bottom w:w="0" w:type="dxa"/>
                    <w:right w:w="28" w:type="dxa"/>
                  </w:tcMar>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613" w:hRule="atLeast"/>
                <w:jc w:val="center"/>
              </w:trPr>
              <w:tc>
                <w:tcPr>
                  <w:tcW w:w="71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eastAsia="宋体" w:cs="Times New Roman"/>
                      <w:b w:val="0"/>
                      <w:bCs w:val="0"/>
                      <w:color w:val="0000FF"/>
                      <w:sz w:val="21"/>
                      <w:szCs w:val="21"/>
                      <w:lang w:val="en-US" w:eastAsia="zh-CN"/>
                    </w:rPr>
                    <w:t>空间布局约束</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highlight w:val="none"/>
                      <w:lang w:val="en-US" w:eastAsia="zh-CN" w:bidi="ar-SA"/>
                    </w:rPr>
                  </w:pPr>
                  <w:r>
                    <w:rPr>
                      <w:rFonts w:hint="default" w:ascii="Times New Roman" w:hAnsi="Times New Roman" w:eastAsia="宋体" w:cs="Times New Roman"/>
                      <w:b w:val="0"/>
                      <w:bCs w:val="0"/>
                      <w:color w:val="0000FF"/>
                      <w:kern w:val="2"/>
                      <w:sz w:val="21"/>
                      <w:szCs w:val="21"/>
                      <w:highlight w:val="none"/>
                      <w:lang w:val="en-US" w:eastAsia="zh-CN" w:bidi="ar-SA"/>
                    </w:rPr>
                    <w:t>1.禁止在二十五度以上陡坡地开垦种植农作物。</w:t>
                  </w:r>
                </w:p>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highlight w:val="none"/>
                      <w:lang w:val="en-US" w:eastAsia="zh-CN" w:bidi="ar-SA"/>
                    </w:rPr>
                  </w:pPr>
                  <w:r>
                    <w:rPr>
                      <w:rFonts w:hint="default" w:ascii="Times New Roman" w:hAnsi="Times New Roman" w:eastAsia="宋体" w:cs="Times New Roman"/>
                      <w:b w:val="0"/>
                      <w:bCs w:val="0"/>
                      <w:color w:val="0000FF"/>
                      <w:kern w:val="2"/>
                      <w:sz w:val="21"/>
                      <w:szCs w:val="21"/>
                      <w:highlight w:val="none"/>
                      <w:lang w:val="en-US" w:eastAsia="zh-CN" w:bidi="ar-SA"/>
                    </w:rPr>
                    <w:t>2.生态保护红线内，除国家重大战略项目以及对生态功能不造成破坏的十类有限人为活动之外，严格禁止各类开发性、生产性建设活动。一般生态空间内，在生态保护红线正面清单的基础上，仅允许开展生态修复等对生态环境扰动较小、不损害或有利于提升生态功能的开发项目。生态保护红线和一般生态空间以外的其他区域，除国家、自治区重大战略规划项目和不可避让生态红线的十类建设项目外，禁止新建排放污染物的各类工业和规模化养殖项目。</w:t>
                  </w:r>
                </w:p>
              </w:tc>
              <w:tc>
                <w:tcPr>
                  <w:tcW w:w="2061"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cs="Times New Roman"/>
                      <w:b w:val="0"/>
                      <w:bCs w:val="0"/>
                      <w:color w:val="0000FF"/>
                      <w:sz w:val="21"/>
                      <w:szCs w:val="21"/>
                      <w:lang w:val="en-US" w:eastAsia="zh-CN"/>
                    </w:rPr>
                    <w:t>1.本项目在现有耕地进行菌菇种植，不涉及在</w:t>
                  </w:r>
                  <w:r>
                    <w:rPr>
                      <w:rFonts w:hint="default" w:ascii="Times New Roman" w:hAnsi="Times New Roman" w:eastAsia="宋体" w:cs="Times New Roman"/>
                      <w:b w:val="0"/>
                      <w:bCs w:val="0"/>
                      <w:color w:val="0000FF"/>
                      <w:kern w:val="2"/>
                      <w:sz w:val="21"/>
                      <w:szCs w:val="21"/>
                      <w:lang w:val="en-US" w:eastAsia="zh-CN" w:bidi="ar-SA"/>
                    </w:rPr>
                    <w:t>二十五度以上陡坡地开垦种植农作物。</w:t>
                  </w:r>
                </w:p>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0000FF"/>
                      <w:kern w:val="2"/>
                      <w:sz w:val="21"/>
                      <w:szCs w:val="21"/>
                      <w:lang w:val="en-US" w:eastAsia="zh-CN" w:bidi="ar-SA"/>
                    </w:rPr>
                    <w:t>2.本项目不涉及。</w:t>
                  </w:r>
                </w:p>
              </w:tc>
              <w:tc>
                <w:tcPr>
                  <w:tcW w:w="441"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4" w:hRule="atLeast"/>
                <w:jc w:val="center"/>
              </w:trPr>
              <w:tc>
                <w:tcPr>
                  <w:tcW w:w="71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污染排放管控</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eastAsia="宋体" w:cs="Times New Roman"/>
                      <w:b w:val="0"/>
                      <w:bCs w:val="0"/>
                      <w:color w:val="0000FF"/>
                      <w:sz w:val="21"/>
                      <w:szCs w:val="21"/>
                      <w:lang w:val="en-US" w:eastAsia="zh-CN"/>
                    </w:rPr>
                    <w:t>/</w:t>
                  </w:r>
                </w:p>
              </w:tc>
              <w:tc>
                <w:tcPr>
                  <w:tcW w:w="2061"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eastAsia" w:cs="Times New Roman"/>
                      <w:b w:val="0"/>
                      <w:bCs w:val="0"/>
                      <w:color w:val="0000FF"/>
                      <w:sz w:val="21"/>
                      <w:szCs w:val="21"/>
                      <w:lang w:val="en-US" w:eastAsia="zh-CN"/>
                    </w:rPr>
                    <w:t>/</w:t>
                  </w:r>
                </w:p>
              </w:tc>
              <w:tc>
                <w:tcPr>
                  <w:tcW w:w="441"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cs="Times New Roman"/>
                      <w:b w:val="0"/>
                      <w:bCs w:val="0"/>
                      <w:color w:val="0000FF"/>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4" w:hRule="atLeast"/>
                <w:jc w:val="center"/>
              </w:trPr>
              <w:tc>
                <w:tcPr>
                  <w:tcW w:w="71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环境风险防控</w:t>
                  </w:r>
                </w:p>
              </w:tc>
              <w:tc>
                <w:tcPr>
                  <w:tcW w:w="1783" w:type="pct"/>
                  <w:tcBorders>
                    <w:tl2br w:val="nil"/>
                    <w:tr2bl w:val="nil"/>
                  </w:tcBorders>
                  <w:shd w:val="clear" w:color="auto" w:fill="auto"/>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eastAsia="宋体" w:cs="Times New Roman"/>
                      <w:b w:val="0"/>
                      <w:bCs w:val="0"/>
                      <w:color w:val="0000FF"/>
                      <w:sz w:val="21"/>
                      <w:szCs w:val="21"/>
                      <w:lang w:val="en-US" w:eastAsia="zh-CN"/>
                    </w:rPr>
                    <w:t>/</w:t>
                  </w:r>
                </w:p>
              </w:tc>
              <w:tc>
                <w:tcPr>
                  <w:tcW w:w="2061" w:type="pct"/>
                  <w:tcBorders>
                    <w:tl2br w:val="nil"/>
                    <w:tr2bl w:val="nil"/>
                  </w:tcBorders>
                  <w:noWrap w:val="0"/>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eastAsia" w:cs="Times New Roman"/>
                      <w:b w:val="0"/>
                      <w:bCs w:val="0"/>
                      <w:color w:val="0000FF"/>
                      <w:sz w:val="21"/>
                      <w:szCs w:val="21"/>
                      <w:lang w:val="en-US" w:eastAsia="zh-CN"/>
                    </w:rPr>
                    <w:t>/</w:t>
                  </w:r>
                </w:p>
              </w:tc>
              <w:tc>
                <w:tcPr>
                  <w:tcW w:w="441"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cs="Times New Roman"/>
                      <w:b w:val="0"/>
                      <w:bCs w:val="0"/>
                      <w:color w:val="0000FF"/>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71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val="en-US" w:eastAsia="zh-CN"/>
                    </w:rPr>
                    <w:t>资源开发效率</w:t>
                  </w:r>
                </w:p>
              </w:tc>
              <w:tc>
                <w:tcPr>
                  <w:tcW w:w="1783" w:type="pct"/>
                  <w:shd w:val="clear" w:color="auto" w:fill="auto"/>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eastAsia" w:eastAsia="宋体" w:cs="Times New Roman"/>
                      <w:b w:val="0"/>
                      <w:bCs w:val="0"/>
                      <w:color w:val="0000FF"/>
                      <w:sz w:val="21"/>
                      <w:szCs w:val="21"/>
                      <w:lang w:val="en-US" w:eastAsia="zh-CN"/>
                    </w:rPr>
                    <w:t>/</w:t>
                  </w:r>
                </w:p>
              </w:tc>
              <w:tc>
                <w:tcPr>
                  <w:tcW w:w="2061" w:type="pct"/>
                  <w:vAlign w:val="center"/>
                </w:tcPr>
                <w:p>
                  <w:pPr>
                    <w:keepNext w:val="0"/>
                    <w:keepLines w:val="0"/>
                    <w:pageBreakBefore w:val="0"/>
                    <w:widowControl w:val="0"/>
                    <w:tabs>
                      <w:tab w:val="left" w:pos="826"/>
                    </w:tabs>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eastAsia" w:eastAsia="宋体" w:cs="Times New Roman"/>
                      <w:b w:val="0"/>
                      <w:bCs w:val="0"/>
                      <w:color w:val="0000FF"/>
                      <w:sz w:val="21"/>
                      <w:szCs w:val="21"/>
                      <w:lang w:val="en-US" w:eastAsia="zh-CN"/>
                    </w:rPr>
                    <w:t>/</w:t>
                  </w:r>
                </w:p>
              </w:tc>
              <w:tc>
                <w:tcPr>
                  <w:tcW w:w="441" w:type="pc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eastAsia" w:eastAsia="宋体" w:cs="Times New Roman"/>
                      <w:b w:val="0"/>
                      <w:bCs w:val="0"/>
                      <w:color w:val="0000FF"/>
                      <w:sz w:val="21"/>
                      <w:szCs w:val="21"/>
                      <w:lang w:val="en-US" w:eastAsia="zh-CN"/>
                    </w:rPr>
                    <w:t>/</w:t>
                  </w:r>
                </w:p>
              </w:tc>
            </w:tr>
          </w:tbl>
          <w:p>
            <w:pPr>
              <w:adjustRightInd w:val="0"/>
              <w:snapToGrid w:val="0"/>
              <w:spacing w:line="360" w:lineRule="auto"/>
              <w:ind w:firstLine="480" w:firstLineChars="200"/>
              <w:rPr>
                <w:rFonts w:hint="default" w:ascii="Times New Roman" w:hAnsi="Times New Roman" w:eastAsia="仿宋_GB2312" w:cs="Times New Roman"/>
                <w:b w:val="0"/>
                <w:bCs/>
                <w:color w:val="auto"/>
                <w:spacing w:val="0"/>
                <w:kern w:val="0"/>
                <w:sz w:val="24"/>
                <w:szCs w:val="24"/>
                <w:lang w:val="en-US" w:eastAsia="zh-CN" w:bidi="ar-SA"/>
              </w:rPr>
            </w:pPr>
            <w:r>
              <w:rPr>
                <w:rFonts w:hint="default" w:ascii="Times New Roman" w:hAnsi="Times New Roman" w:eastAsia="仿宋_GB2312" w:cs="Times New Roman"/>
                <w:b w:val="0"/>
                <w:bCs/>
                <w:color w:val="auto"/>
                <w:spacing w:val="0"/>
                <w:kern w:val="0"/>
                <w:sz w:val="24"/>
                <w:szCs w:val="24"/>
                <w:lang w:val="en-US" w:eastAsia="zh-CN" w:bidi="ar-SA"/>
              </w:rPr>
              <w:t>综上，本项目的建设符合《固原市生态环境分区管控实施方案》（固政发[2024]28号）的相关要求。</w:t>
            </w:r>
          </w:p>
          <w:p>
            <w:pPr>
              <w:adjustRightInd w:val="0"/>
              <w:snapToGrid w:val="0"/>
              <w:spacing w:line="360" w:lineRule="auto"/>
              <w:rPr>
                <w:rFonts w:hint="default" w:ascii="Times New Roman" w:hAnsi="Times New Roman" w:eastAsia="仿宋_GB2312" w:cs="Times New Roman"/>
                <w:b/>
                <w:bCs w:val="0"/>
                <w:color w:val="auto"/>
                <w:spacing w:val="0"/>
                <w:kern w:val="0"/>
                <w:sz w:val="24"/>
                <w:szCs w:val="24"/>
                <w:lang w:val="en-US" w:eastAsia="zh-CN" w:bidi="ar-SA"/>
              </w:rPr>
            </w:pPr>
            <w:r>
              <w:rPr>
                <w:rFonts w:hint="default" w:ascii="Times New Roman" w:hAnsi="Times New Roman" w:eastAsia="仿宋_GB2312" w:cs="Times New Roman"/>
                <w:b/>
                <w:bCs w:val="0"/>
                <w:color w:val="auto"/>
                <w:spacing w:val="0"/>
                <w:kern w:val="0"/>
                <w:sz w:val="24"/>
                <w:szCs w:val="24"/>
                <w:lang w:val="en-US" w:eastAsia="zh-CN" w:bidi="ar-SA"/>
              </w:rPr>
              <w:t>2</w:t>
            </w:r>
            <w:r>
              <w:rPr>
                <w:rFonts w:hint="eastAsia" w:eastAsia="仿宋_GB2312" w:cs="Times New Roman"/>
                <w:b/>
                <w:bCs w:val="0"/>
                <w:color w:val="auto"/>
                <w:spacing w:val="0"/>
                <w:kern w:val="0"/>
                <w:sz w:val="24"/>
                <w:szCs w:val="24"/>
                <w:lang w:val="en-US" w:eastAsia="zh-CN" w:bidi="ar-SA"/>
              </w:rPr>
              <w:t>.</w:t>
            </w:r>
            <w:r>
              <w:rPr>
                <w:rFonts w:hint="default" w:ascii="Times New Roman" w:hAnsi="Times New Roman" w:eastAsia="仿宋_GB2312" w:cs="Times New Roman"/>
                <w:b/>
                <w:bCs w:val="0"/>
                <w:color w:val="auto"/>
                <w:spacing w:val="0"/>
                <w:kern w:val="0"/>
                <w:sz w:val="24"/>
                <w:szCs w:val="24"/>
                <w:lang w:val="en-US" w:eastAsia="zh-CN" w:bidi="ar-SA"/>
              </w:rPr>
              <w:t>与《固原市特色农业产业发展规划（2024—2027年）》的通知符合性分析</w:t>
            </w:r>
          </w:p>
          <w:p>
            <w:pPr>
              <w:adjustRightInd w:val="0"/>
              <w:snapToGrid w:val="0"/>
              <w:spacing w:line="360" w:lineRule="auto"/>
              <w:ind w:firstLine="480" w:firstLineChars="200"/>
              <w:rPr>
                <w:rFonts w:hint="default" w:ascii="Times New Roman" w:hAnsi="Times New Roman" w:eastAsia="仿宋_GB2312" w:cs="Times New Roman"/>
                <w:b w:val="0"/>
                <w:bCs/>
                <w:color w:val="auto"/>
                <w:spacing w:val="0"/>
                <w:kern w:val="0"/>
                <w:sz w:val="24"/>
                <w:szCs w:val="24"/>
                <w:lang w:val="en-US" w:eastAsia="zh-CN" w:bidi="ar-SA"/>
              </w:rPr>
            </w:pPr>
            <w:r>
              <w:rPr>
                <w:rFonts w:hint="default" w:ascii="Times New Roman" w:hAnsi="Times New Roman" w:eastAsia="仿宋_GB2312" w:cs="Times New Roman"/>
                <w:b w:val="0"/>
                <w:bCs/>
                <w:color w:val="auto"/>
                <w:spacing w:val="0"/>
                <w:kern w:val="0"/>
                <w:sz w:val="24"/>
                <w:szCs w:val="24"/>
                <w:lang w:val="en-US" w:eastAsia="zh-CN" w:bidi="ar-SA"/>
              </w:rPr>
              <w:t>根据中共固原市委办公室市人民政府办公室印发《固原市特色农业产业发展规划（2024—2027年）》的通知中“</w:t>
            </w:r>
            <w:r>
              <w:rPr>
                <w:rFonts w:hint="eastAsia" w:eastAsia="仿宋_GB2312" w:cs="Times New Roman"/>
                <w:b w:val="0"/>
                <w:bCs/>
                <w:color w:val="auto"/>
                <w:spacing w:val="0"/>
                <w:kern w:val="0"/>
                <w:sz w:val="24"/>
                <w:szCs w:val="24"/>
                <w:lang w:val="en-US" w:eastAsia="zh-CN" w:bidi="ar-SA"/>
              </w:rPr>
              <w:t>发展定位</w:t>
            </w:r>
            <w:r>
              <w:rPr>
                <w:rFonts w:hint="default" w:ascii="Times New Roman" w:hAnsi="Times New Roman" w:eastAsia="仿宋_GB2312" w:cs="Times New Roman"/>
                <w:b w:val="0"/>
                <w:bCs/>
                <w:color w:val="auto"/>
                <w:spacing w:val="0"/>
                <w:kern w:val="0"/>
                <w:sz w:val="24"/>
                <w:szCs w:val="24"/>
                <w:lang w:val="en-US" w:eastAsia="zh-CN" w:bidi="ar-SA"/>
              </w:rPr>
              <w:t>”，（四）打造西北地区菌菇标准化生产基地。聚焦“扩总量、提质量、聚能量”总要求，加强与福建古田县交流合作，建设平菇、茶树菇、香菇、羊肚菌、木耳、杏鲍菇“六大基地”，打造“南有古田、北有固原”产业发展新格局，成为固原农业经济新增长点、生态高效农业新典范和循环经济新亮点。</w:t>
            </w:r>
          </w:p>
          <w:p>
            <w:pPr>
              <w:adjustRightInd w:val="0"/>
              <w:snapToGrid w:val="0"/>
              <w:spacing w:line="360" w:lineRule="auto"/>
              <w:ind w:firstLine="480" w:firstLineChars="200"/>
              <w:rPr>
                <w:rFonts w:hint="default" w:ascii="Times New Roman" w:hAnsi="Times New Roman" w:eastAsia="仿宋_GB2312" w:cs="Times New Roman"/>
                <w:b w:val="0"/>
                <w:bCs/>
                <w:color w:val="auto"/>
                <w:spacing w:val="0"/>
                <w:kern w:val="0"/>
                <w:sz w:val="24"/>
                <w:szCs w:val="24"/>
                <w:lang w:val="en-US" w:eastAsia="zh-CN" w:bidi="ar-SA"/>
              </w:rPr>
            </w:pPr>
            <w:r>
              <w:rPr>
                <w:rFonts w:hint="eastAsia" w:eastAsia="仿宋_GB2312" w:cs="Times New Roman"/>
                <w:b w:val="0"/>
                <w:bCs/>
                <w:color w:val="auto"/>
                <w:spacing w:val="0"/>
                <w:kern w:val="0"/>
                <w:sz w:val="24"/>
                <w:szCs w:val="24"/>
                <w:lang w:val="en-US" w:eastAsia="zh-CN" w:bidi="ar-SA"/>
              </w:rPr>
              <w:t>本</w:t>
            </w:r>
            <w:r>
              <w:rPr>
                <w:rFonts w:hint="default" w:ascii="Times New Roman" w:hAnsi="Times New Roman" w:eastAsia="仿宋_GB2312" w:cs="Times New Roman"/>
                <w:b w:val="0"/>
                <w:bCs/>
                <w:color w:val="auto"/>
                <w:spacing w:val="0"/>
                <w:kern w:val="0"/>
                <w:sz w:val="24"/>
                <w:szCs w:val="24"/>
                <w:lang w:val="en-US" w:eastAsia="zh-CN" w:bidi="ar-SA"/>
              </w:rPr>
              <w:t>项目通过新建出菇棚、养菌棚等设施，旨在解决现有种植设施分散、技术落后的问题，推动生产规模化和标准化，实现从“零星种植”向“集中化园区”的升级。同时，现有产业链条短、附加值低的问题亟待解决。泾源县虽已形成菌棒加工、种植、冷链储运的基础链条，但初级产品占比高，缺乏深加工能力。项目中菌棒加工车间、烘干设备及冷库将填补加工环节空白，通过开发菌菇干品、功能性食品等，预计可使产品附加值提升。项目深度融入乡村振兴战略。通过“企业+村集体+农户”模式（大湾乡改造养菌棚、配套滴灌设施），预计可带动户农户参与，泾河源镇白面村产业园建设冷库、烘干房及管理房，将直接服务周边“庭院经济”种植户，形成“生产－加工－销售”闭环</w:t>
            </w:r>
            <w:r>
              <w:rPr>
                <w:rFonts w:hint="eastAsia" w:eastAsia="仿宋_GB2312" w:cs="Times New Roman"/>
                <w:b w:val="0"/>
                <w:bCs/>
                <w:color w:val="auto"/>
                <w:spacing w:val="0"/>
                <w:kern w:val="0"/>
                <w:sz w:val="24"/>
                <w:szCs w:val="24"/>
                <w:lang w:val="en-US" w:eastAsia="zh-CN" w:bidi="ar-SA"/>
              </w:rPr>
              <w:t>。</w:t>
            </w:r>
            <w:r>
              <w:rPr>
                <w:rFonts w:hint="default" w:ascii="Times New Roman" w:hAnsi="Times New Roman" w:eastAsia="仿宋_GB2312" w:cs="Times New Roman"/>
                <w:b w:val="0"/>
                <w:bCs/>
                <w:color w:val="auto"/>
                <w:spacing w:val="0"/>
                <w:kern w:val="0"/>
                <w:sz w:val="24"/>
                <w:szCs w:val="24"/>
                <w:lang w:val="en-US" w:eastAsia="zh-CN" w:bidi="ar-SA"/>
              </w:rPr>
              <w:t>成为固原农业经济新增长点、生态高效农业新典范和循环经济新亮点。推动循环农业发展。</w:t>
            </w:r>
          </w:p>
          <w:p>
            <w:pPr>
              <w:adjustRightInd w:val="0"/>
              <w:snapToGrid w:val="0"/>
              <w:spacing w:line="360" w:lineRule="auto"/>
              <w:ind w:firstLine="480" w:firstLineChars="200"/>
              <w:rPr>
                <w:rFonts w:hint="default" w:ascii="Times New Roman" w:hAnsi="Times New Roman" w:eastAsia="仿宋_GB2312" w:cs="Times New Roman"/>
                <w:b w:val="0"/>
                <w:bCs/>
                <w:color w:val="auto"/>
                <w:spacing w:val="0"/>
                <w:kern w:val="0"/>
                <w:sz w:val="24"/>
                <w:szCs w:val="24"/>
                <w:lang w:val="en-US" w:eastAsia="zh-CN" w:bidi="ar-SA"/>
              </w:rPr>
            </w:pPr>
            <w:r>
              <w:rPr>
                <w:rFonts w:hint="eastAsia" w:eastAsia="仿宋_GB2312" w:cs="Times New Roman"/>
                <w:b w:val="0"/>
                <w:bCs/>
                <w:color w:val="auto"/>
                <w:spacing w:val="0"/>
                <w:kern w:val="0"/>
                <w:sz w:val="24"/>
                <w:szCs w:val="24"/>
                <w:lang w:val="en-US" w:eastAsia="zh-CN" w:bidi="ar-SA"/>
              </w:rPr>
              <w:t>因此，</w:t>
            </w:r>
            <w:r>
              <w:rPr>
                <w:rFonts w:hint="default" w:ascii="Times New Roman" w:hAnsi="Times New Roman" w:eastAsia="仿宋_GB2312" w:cs="Times New Roman"/>
                <w:b w:val="0"/>
                <w:bCs/>
                <w:color w:val="auto"/>
                <w:spacing w:val="0"/>
                <w:kern w:val="0"/>
                <w:sz w:val="24"/>
                <w:szCs w:val="24"/>
                <w:lang w:val="en-US" w:eastAsia="zh-CN" w:bidi="ar-SA"/>
              </w:rPr>
              <w:t>项目建设符合《固原市特色农业产业发展规划（2024—2027年）》相关要求。</w:t>
            </w:r>
          </w:p>
          <w:p>
            <w:pPr>
              <w:adjustRightInd w:val="0"/>
              <w:snapToGrid w:val="0"/>
              <w:spacing w:line="360" w:lineRule="auto"/>
              <w:ind w:firstLine="480" w:firstLineChars="200"/>
              <w:rPr>
                <w:rFonts w:hint="default" w:ascii="Times New Roman" w:hAnsi="Times New Roman" w:eastAsia="仿宋_GB2312" w:cs="Times New Roman"/>
                <w:b w:val="0"/>
                <w:bCs/>
                <w:color w:val="auto"/>
                <w:spacing w:val="0"/>
                <w:kern w:val="0"/>
                <w:sz w:val="24"/>
                <w:szCs w:val="24"/>
                <w:lang w:val="en-US" w:eastAsia="zh-CN" w:bidi="ar-SA"/>
              </w:rPr>
            </w:pPr>
          </w:p>
          <w:p>
            <w:pPr>
              <w:adjustRightInd w:val="0"/>
              <w:snapToGrid w:val="0"/>
              <w:spacing w:line="360" w:lineRule="auto"/>
              <w:ind w:firstLine="480" w:firstLineChars="200"/>
              <w:rPr>
                <w:rFonts w:hint="default" w:ascii="Times New Roman" w:hAnsi="Times New Roman" w:eastAsia="仿宋_GB2312" w:cs="Times New Roman"/>
                <w:b w:val="0"/>
                <w:bCs/>
                <w:color w:val="auto"/>
                <w:spacing w:val="0"/>
                <w:kern w:val="0"/>
                <w:sz w:val="24"/>
                <w:szCs w:val="24"/>
                <w:lang w:val="en-US" w:eastAsia="zh-CN" w:bidi="ar-SA"/>
              </w:rPr>
            </w:pPr>
          </w:p>
        </w:tc>
      </w:tr>
    </w:tbl>
    <w:p>
      <w:pPr>
        <w:rPr>
          <w:rFonts w:eastAsia="黑体"/>
          <w:color w:val="auto"/>
          <w:sz w:val="30"/>
          <w:highlight w:val="none"/>
        </w:rPr>
      </w:pPr>
      <w:r>
        <w:rPr>
          <w:rFonts w:eastAsia="黑体"/>
          <w:color w:val="auto"/>
          <w:sz w:val="30"/>
          <w:highlight w:val="none"/>
        </w:rPr>
        <w:br w:type="page"/>
      </w:r>
    </w:p>
    <w:p>
      <w:pPr>
        <w:pStyle w:val="42"/>
        <w:rPr>
          <w:color w:val="auto"/>
          <w:highlight w:val="none"/>
        </w:rPr>
        <w:sectPr>
          <w:footerReference r:id="rId6" w:type="default"/>
          <w:pgSz w:w="11906" w:h="16838"/>
          <w:pgMar w:top="1701" w:right="1417" w:bottom="1701" w:left="1417"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pPr>
        <w:pStyle w:val="31"/>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eastAsia" w:ascii="黑体" w:hAnsi="黑体" w:eastAsia="黑体"/>
          <w:snapToGrid w:val="0"/>
          <w:color w:val="auto"/>
          <w:sz w:val="30"/>
          <w:szCs w:val="30"/>
          <w:highlight w:val="none"/>
          <w:lang w:eastAsia="zh-CN"/>
        </w:rPr>
      </w:pPr>
      <w:r>
        <w:rPr>
          <w:rFonts w:hint="eastAsia" w:ascii="黑体" w:hAnsi="黑体" w:eastAsia="黑体"/>
          <w:snapToGrid w:val="0"/>
          <w:color w:val="auto"/>
          <w:sz w:val="30"/>
          <w:szCs w:val="30"/>
          <w:highlight w:val="none"/>
        </w:rPr>
        <w:t>二、建设</w:t>
      </w:r>
      <w:r>
        <w:rPr>
          <w:rFonts w:hint="eastAsia" w:ascii="黑体" w:hAnsi="黑体" w:eastAsia="黑体"/>
          <w:snapToGrid w:val="0"/>
          <w:color w:val="auto"/>
          <w:sz w:val="30"/>
          <w:szCs w:val="30"/>
          <w:highlight w:val="none"/>
          <w:lang w:eastAsia="zh-CN"/>
        </w:rPr>
        <w:t>内容</w:t>
      </w:r>
    </w:p>
    <w:tbl>
      <w:tblPr>
        <w:tblStyle w:val="35"/>
        <w:tblW w:w="9201"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465"/>
        <w:gridCol w:w="8727"/>
        <w:gridCol w:w="9"/>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gridAfter w:val="1"/>
          <w:wAfter w:w="9" w:type="dxa"/>
          <w:trHeight w:val="3800" w:hRule="atLeast"/>
          <w:jc w:val="center"/>
        </w:trPr>
        <w:tc>
          <w:tcPr>
            <w:tcW w:w="465" w:type="dxa"/>
            <w:tcBorders>
              <w:tl2br w:val="nil"/>
              <w:tr2bl w:val="nil"/>
            </w:tcBorders>
            <w:vAlign w:val="center"/>
          </w:tcPr>
          <w:p>
            <w:pPr>
              <w:pStyle w:val="31"/>
              <w:keepNext w:val="0"/>
              <w:keepLines w:val="0"/>
              <w:pageBreakBefore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仿宋_GB2312" w:cs="Times New Roman"/>
                <w:bCs/>
                <w:color w:val="auto"/>
                <w:kern w:val="2"/>
                <w:sz w:val="24"/>
                <w:szCs w:val="24"/>
                <w:highlight w:val="none"/>
                <w:lang w:val="en-US" w:eastAsia="zh-CN" w:bidi="ar-SA"/>
              </w:rPr>
            </w:pPr>
            <w:r>
              <w:rPr>
                <w:rFonts w:hint="default" w:ascii="Times New Roman" w:hAnsi="Times New Roman" w:eastAsia="仿宋_GB2312" w:cs="Times New Roman"/>
                <w:b/>
                <w:bCs w:val="0"/>
                <w:color w:val="auto"/>
                <w:kern w:val="2"/>
                <w:sz w:val="24"/>
                <w:szCs w:val="24"/>
                <w:highlight w:val="none"/>
                <w:lang w:val="en-US" w:eastAsia="zh-CN" w:bidi="ar-SA"/>
              </w:rPr>
              <w:t>地理位置</w:t>
            </w:r>
          </w:p>
        </w:tc>
        <w:tc>
          <w:tcPr>
            <w:tcW w:w="8727" w:type="dxa"/>
            <w:tcBorders>
              <w:tl2br w:val="nil"/>
              <w:tr2bl w:val="nil"/>
            </w:tcBorders>
          </w:tcPr>
          <w:p>
            <w:pPr>
              <w:keepNext w:val="0"/>
              <w:keepLines w:val="0"/>
              <w:pageBreakBefore w:val="0"/>
              <w:kinsoku/>
              <w:wordWrap/>
              <w:overflowPunct/>
              <w:topLinePunct w:val="0"/>
              <w:autoSpaceDE/>
              <w:autoSpaceDN/>
              <w:bidi w:val="0"/>
              <w:spacing w:line="360" w:lineRule="auto"/>
              <w:ind w:firstLine="480" w:firstLineChars="200"/>
              <w:jc w:val="both"/>
              <w:textAlignment w:val="auto"/>
              <w:rPr>
                <w:rFonts w:hint="default"/>
                <w:color w:val="auto"/>
                <w:lang w:val="en-US" w:eastAsia="zh-CN"/>
              </w:rPr>
            </w:pPr>
            <w:r>
              <w:rPr>
                <w:rFonts w:hint="default" w:ascii="Times New Roman" w:hAnsi="Times New Roman" w:eastAsia="仿宋_GB2312" w:cs="Times New Roman"/>
                <w:color w:val="auto"/>
                <w:sz w:val="24"/>
                <w:szCs w:val="24"/>
                <w:highlight w:val="none"/>
                <w:lang w:val="en-US" w:eastAsia="zh-CN"/>
              </w:rPr>
              <w:t>本项目位于</w:t>
            </w:r>
            <w:r>
              <w:rPr>
                <w:rFonts w:hint="eastAsia" w:eastAsia="仿宋_GB2312" w:cs="Times New Roman"/>
                <w:color w:val="auto"/>
                <w:sz w:val="24"/>
                <w:highlight w:val="none"/>
                <w:lang w:val="en-US" w:eastAsia="zh-CN"/>
              </w:rPr>
              <w:t>宁夏回族自治区固原市泾源县黄花乡沙塘村和羊槽村、新民乡马河滩村、大湾乡牛营村、香水镇卡子村米岗村、兴盛乡兴盛村、泾河源镇白面村</w:t>
            </w:r>
            <w:r>
              <w:rPr>
                <w:rFonts w:hint="eastAsia" w:eastAsia="仿宋_GB2312" w:cs="Times New Roman"/>
                <w:color w:val="auto"/>
                <w:sz w:val="24"/>
                <w:szCs w:val="24"/>
                <w:highlight w:val="none"/>
                <w:lang w:val="en-US" w:eastAsia="zh-CN"/>
              </w:rPr>
              <w:t>。黄花乡沙塘村菌菇产业园区扩容提升建设工程中心地理坐标为东经106°26′12.993″，北纬35°35′1.661″；黄花乡羊槽村菌菇产业园建设工程中心地理坐标为东经106°25′53.837″，北纬35°29′6.794″；新民乡马河滩村菌菇大棚建设工程中心地理坐标为东经106°27′2.376″，北纬35°21′4.170″。大湾乡养菌棚改造及木耳配套设施建设工程中心地理坐标106°15′19.7894″，北纬35°45′33.762″；香水镇卡子村菌菇产业提质扩量建设工程中心地理坐标东经106°17′19.237″,北纬35°33′58.667″。香水镇米岗村新建菌菇棚建设工程中心地理坐标东经106°17′24.720″,北纬35°33′23.113″。兴盛乡兴盛村特色农业设施大棚中心地理坐标东经106°20′10.451″,北纬35°27′7.9367″。泾河源镇白面村新建菌菇棚建设工程中心地理坐标东经106°23′16.854″,北纬35°23′59.509″。泾河源镇白面村菌菇产业园区建设工程中心地理坐标东经106°23′22.757″，北纬35°24′9.570″。</w:t>
            </w:r>
            <w:r>
              <w:rPr>
                <w:rFonts w:hint="default" w:ascii="Times New Roman" w:hAnsi="Times New Roman" w:eastAsia="仿宋_GB2312" w:cs="Times New Roman"/>
                <w:color w:val="auto"/>
                <w:sz w:val="24"/>
                <w:szCs w:val="24"/>
                <w:highlight w:val="none"/>
                <w:lang w:val="en-US" w:eastAsia="zh-CN"/>
              </w:rPr>
              <w:t>本项目</w:t>
            </w:r>
            <w:r>
              <w:rPr>
                <w:rFonts w:hint="eastAsia" w:ascii="Times New Roman" w:hAnsi="Times New Roman" w:eastAsia="仿宋_GB2312" w:cs="Times New Roman"/>
                <w:color w:val="auto"/>
                <w:sz w:val="24"/>
                <w:szCs w:val="24"/>
                <w:highlight w:val="none"/>
                <w:lang w:val="en-US" w:eastAsia="zh-CN"/>
              </w:rPr>
              <w:t>与</w:t>
            </w:r>
            <w:r>
              <w:rPr>
                <w:rFonts w:hint="eastAsia" w:eastAsia="仿宋_GB2312" w:cs="Times New Roman"/>
                <w:color w:val="auto"/>
                <w:sz w:val="24"/>
                <w:szCs w:val="24"/>
                <w:highlight w:val="none"/>
                <w:lang w:val="en-US" w:eastAsia="zh-CN"/>
              </w:rPr>
              <w:t>泾源</w:t>
            </w:r>
            <w:r>
              <w:rPr>
                <w:rFonts w:hint="eastAsia" w:ascii="Times New Roman" w:hAnsi="Times New Roman" w:eastAsia="仿宋_GB2312" w:cs="Times New Roman"/>
                <w:color w:val="auto"/>
                <w:sz w:val="24"/>
                <w:szCs w:val="24"/>
                <w:highlight w:val="none"/>
                <w:lang w:val="en-US" w:eastAsia="zh-CN"/>
              </w:rPr>
              <w:t>县行政区划关系图</w:t>
            </w:r>
            <w:r>
              <w:rPr>
                <w:rFonts w:hint="default" w:ascii="Times New Roman" w:hAnsi="Times New Roman" w:eastAsia="仿宋_GB2312" w:cs="Times New Roman"/>
                <w:color w:val="auto"/>
                <w:sz w:val="24"/>
                <w:szCs w:val="24"/>
                <w:highlight w:val="none"/>
                <w:lang w:val="en-US" w:eastAsia="zh-CN"/>
              </w:rPr>
              <w:t>见附图6。</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gridAfter w:val="1"/>
          <w:wAfter w:w="9" w:type="dxa"/>
          <w:trHeight w:val="340" w:hRule="atLeast"/>
          <w:jc w:val="center"/>
        </w:trPr>
        <w:tc>
          <w:tcPr>
            <w:tcW w:w="465" w:type="dxa"/>
            <w:tcBorders>
              <w:tl2br w:val="nil"/>
              <w:tr2bl w:val="nil"/>
            </w:tcBorders>
            <w:vAlign w:val="center"/>
          </w:tcPr>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r>
              <w:rPr>
                <w:rFonts w:hint="default" w:ascii="Times New Roman" w:hAnsi="Times New Roman" w:eastAsia="仿宋_GB2312" w:cs="Times New Roman"/>
                <w:b/>
                <w:bCs/>
                <w:color w:val="auto"/>
                <w:szCs w:val="24"/>
                <w:highlight w:val="none"/>
                <w:lang w:eastAsia="zh-CN"/>
              </w:rPr>
              <w:t>项目组成及规模</w:t>
            </w: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r>
              <w:rPr>
                <w:rFonts w:hint="default" w:ascii="Times New Roman" w:hAnsi="Times New Roman" w:eastAsia="仿宋_GB2312" w:cs="Times New Roman"/>
                <w:b/>
                <w:bCs/>
                <w:color w:val="auto"/>
                <w:szCs w:val="24"/>
                <w:highlight w:val="none"/>
                <w:lang w:eastAsia="zh-CN"/>
              </w:rPr>
              <w:t>项目组成及规模</w:t>
            </w: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r>
              <w:rPr>
                <w:rFonts w:hint="default" w:ascii="Times New Roman" w:hAnsi="Times New Roman" w:eastAsia="仿宋_GB2312" w:cs="Times New Roman"/>
                <w:b/>
                <w:bCs/>
                <w:color w:val="auto"/>
                <w:szCs w:val="24"/>
                <w:highlight w:val="none"/>
                <w:lang w:eastAsia="zh-CN"/>
              </w:rPr>
              <w:t>项目组成及规模</w:t>
            </w: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tc>
        <w:tc>
          <w:tcPr>
            <w:tcW w:w="8727" w:type="dxa"/>
            <w:tcBorders>
              <w:tl2br w:val="nil"/>
              <w:tr2bl w:val="nil"/>
            </w:tcBorders>
          </w:tcPr>
          <w:p>
            <w:pPr>
              <w:pStyle w:val="90"/>
              <w:keepNext w:val="0"/>
              <w:keepLines w:val="0"/>
              <w:pageBreakBefore w:val="0"/>
              <w:kinsoku/>
              <w:wordWrap/>
              <w:overflowPunct/>
              <w:topLinePunct w:val="0"/>
              <w:autoSpaceDE/>
              <w:autoSpaceDN/>
              <w:bidi w:val="0"/>
              <w:adjustRightInd/>
              <w:spacing w:line="360" w:lineRule="auto"/>
              <w:textAlignment w:val="auto"/>
              <w:rPr>
                <w:rFonts w:hint="default" w:ascii="Times New Roman" w:hAnsi="Times New Roman" w:eastAsia="仿宋_GB2312" w:cs="Times New Roman"/>
                <w:b/>
                <w:bCs w:val="0"/>
                <w:color w:val="auto"/>
                <w:kern w:val="2"/>
                <w:sz w:val="24"/>
                <w:szCs w:val="24"/>
                <w:highlight w:val="none"/>
                <w:lang w:val="en-US" w:eastAsia="zh-CN" w:bidi="ar-SA"/>
              </w:rPr>
            </w:pPr>
            <w:r>
              <w:rPr>
                <w:rFonts w:hint="eastAsia" w:ascii="Times New Roman" w:hAnsi="Times New Roman" w:eastAsia="仿宋_GB2312" w:cs="Times New Roman"/>
                <w:b/>
                <w:bCs w:val="0"/>
                <w:color w:val="auto"/>
                <w:kern w:val="2"/>
                <w:sz w:val="24"/>
                <w:szCs w:val="24"/>
                <w:highlight w:val="none"/>
                <w:lang w:val="en-US" w:eastAsia="zh-CN" w:bidi="ar-SA"/>
              </w:rPr>
              <w:t>1.</w:t>
            </w:r>
            <w:r>
              <w:rPr>
                <w:rFonts w:hint="default" w:ascii="Times New Roman" w:hAnsi="Times New Roman" w:eastAsia="仿宋_GB2312" w:cs="Times New Roman"/>
                <w:b/>
                <w:bCs w:val="0"/>
                <w:color w:val="auto"/>
                <w:kern w:val="2"/>
                <w:sz w:val="24"/>
                <w:szCs w:val="24"/>
                <w:highlight w:val="none"/>
                <w:lang w:val="en-US" w:eastAsia="zh-CN" w:bidi="ar-SA"/>
              </w:rPr>
              <w:t>项目</w:t>
            </w:r>
            <w:r>
              <w:rPr>
                <w:rFonts w:hint="eastAsia" w:ascii="Times New Roman" w:hAnsi="Times New Roman" w:eastAsia="仿宋_GB2312" w:cs="Times New Roman"/>
                <w:b/>
                <w:bCs w:val="0"/>
                <w:color w:val="auto"/>
                <w:kern w:val="2"/>
                <w:sz w:val="24"/>
                <w:szCs w:val="24"/>
                <w:highlight w:val="none"/>
                <w:lang w:val="en-US" w:eastAsia="zh-CN" w:bidi="ar-SA"/>
              </w:rPr>
              <w:t>背景</w:t>
            </w:r>
          </w:p>
          <w:p>
            <w:pPr>
              <w:pStyle w:val="15"/>
              <w:keepNext w:val="0"/>
              <w:keepLines w:val="0"/>
              <w:pageBreakBefore w:val="0"/>
              <w:kinsoku/>
              <w:wordWrap/>
              <w:overflowPunct/>
              <w:topLinePunct w:val="0"/>
              <w:autoSpaceDE/>
              <w:autoSpaceDN/>
              <w:bidi w:val="0"/>
              <w:adjustRightInd/>
              <w:spacing w:before="0" w:after="0" w:line="360" w:lineRule="auto"/>
              <w:ind w:left="0" w:right="0" w:firstLine="480" w:firstLineChars="200"/>
              <w:jc w:val="both"/>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泾源县为破解传统苗木产业因市场饱和带来的收入下滑、资源闲置等发展瓶颈，明确将菌菇产业作为农业转型核心方向，</w:t>
            </w:r>
            <w:r>
              <w:rPr>
                <w:rFonts w:hint="eastAsia" w:eastAsia="仿宋_GB2312" w:cs="Times New Roman"/>
                <w:color w:val="auto"/>
                <w:kern w:val="2"/>
                <w:sz w:val="24"/>
                <w:szCs w:val="24"/>
                <w:highlight w:val="none"/>
                <w:lang w:val="en-US" w:eastAsia="zh-CN" w:bidi="ar-SA"/>
              </w:rPr>
              <w:t>建设泾源县菌菇产业融合发展建设项目，</w:t>
            </w:r>
            <w:r>
              <w:rPr>
                <w:rFonts w:hint="default" w:ascii="Times New Roman" w:hAnsi="Times New Roman" w:eastAsia="仿宋_GB2312" w:cs="Times New Roman"/>
                <w:color w:val="auto"/>
                <w:kern w:val="2"/>
                <w:sz w:val="24"/>
                <w:szCs w:val="24"/>
                <w:highlight w:val="none"/>
                <w:lang w:val="en-US" w:eastAsia="zh-CN" w:bidi="ar-SA"/>
              </w:rPr>
              <w:t>通过“企业+村集体+农户”模式可带动千余户农户参与，户均增收超6000元，泾河源镇白面村产业园配套设施更将服务195户庭院种植户，助力村集体经济年均增收60万元以上。立足六盘山冷凉气候、丰富林地等生态禀赋，项目采用“林下仿生种植+设施栽培”双模式降低能耗30%以上，联合科研团队推进循环农业发展，同时植入智慧化手段，大幅提升生产效率并将流通损耗从20%降至5%。此外，项目构建“三园三片”产业集群，通过资源共享降低运营成本，融合农文旅开发体验线路拓宽增收渠道。该项目作为立足本地禀赋、响应政策导向的战略举措，凭借设施升级、链条延伸等多维路径，有望打造西北特色农业高质量发展标杆。</w:t>
            </w:r>
          </w:p>
          <w:p>
            <w:pPr>
              <w:keepNext w:val="0"/>
              <w:keepLines w:val="0"/>
              <w:pageBreakBefore w:val="0"/>
              <w:widowControl w:val="0"/>
              <w:kinsoku/>
              <w:wordWrap/>
              <w:overflowPunct/>
              <w:topLinePunct w:val="0"/>
              <w:autoSpaceDE/>
              <w:autoSpaceDN/>
              <w:bidi w:val="0"/>
              <w:spacing w:line="360" w:lineRule="auto"/>
              <w:ind w:right="0"/>
              <w:jc w:val="both"/>
              <w:textAlignment w:val="auto"/>
              <w:rPr>
                <w:rFonts w:hint="default" w:ascii="Times New Roman" w:hAnsi="Times New Roman" w:eastAsia="仿宋_GB2312" w:cs="Times New Roman"/>
                <w:b/>
                <w:bCs w:val="0"/>
                <w:color w:val="auto"/>
                <w:kern w:val="2"/>
                <w:sz w:val="24"/>
                <w:szCs w:val="24"/>
                <w:highlight w:val="none"/>
                <w:lang w:val="en-US" w:eastAsia="zh-CN" w:bidi="ar-SA"/>
              </w:rPr>
            </w:pPr>
            <w:r>
              <w:rPr>
                <w:rFonts w:hint="eastAsia" w:ascii="Times New Roman" w:hAnsi="Times New Roman" w:eastAsia="仿宋_GB2312" w:cs="Times New Roman"/>
                <w:b/>
                <w:bCs w:val="0"/>
                <w:color w:val="auto"/>
                <w:kern w:val="2"/>
                <w:sz w:val="24"/>
                <w:szCs w:val="24"/>
                <w:highlight w:val="none"/>
                <w:lang w:val="en-US" w:eastAsia="zh-CN" w:bidi="ar-SA"/>
              </w:rPr>
              <w:t>2</w:t>
            </w:r>
            <w:r>
              <w:rPr>
                <w:rFonts w:hint="eastAsia" w:eastAsia="仿宋_GB2312" w:cs="Times New Roman"/>
                <w:b/>
                <w:bCs w:val="0"/>
                <w:color w:val="auto"/>
                <w:kern w:val="2"/>
                <w:sz w:val="24"/>
                <w:szCs w:val="24"/>
                <w:highlight w:val="none"/>
                <w:lang w:val="en-US" w:eastAsia="zh-CN" w:bidi="ar-SA"/>
              </w:rPr>
              <w:t>.</w:t>
            </w:r>
            <w:r>
              <w:rPr>
                <w:rFonts w:hint="default" w:ascii="Times New Roman" w:hAnsi="Times New Roman" w:eastAsia="仿宋_GB2312" w:cs="Times New Roman"/>
                <w:b/>
                <w:bCs w:val="0"/>
                <w:color w:val="auto"/>
                <w:kern w:val="2"/>
                <w:sz w:val="24"/>
                <w:szCs w:val="24"/>
                <w:highlight w:val="none"/>
                <w:lang w:val="en-US" w:eastAsia="zh-CN" w:bidi="ar-SA"/>
              </w:rPr>
              <w:t>项目组成及建设规模</w:t>
            </w:r>
          </w:p>
          <w:p>
            <w:pPr>
              <w:keepNext w:val="0"/>
              <w:keepLines w:val="0"/>
              <w:pageBreakBefore w:val="0"/>
              <w:widowControl w:val="0"/>
              <w:kinsoku/>
              <w:wordWrap/>
              <w:overflowPunct/>
              <w:topLinePunct w:val="0"/>
              <w:autoSpaceDE/>
              <w:autoSpaceDN/>
              <w:bidi w:val="0"/>
              <w:spacing w:line="360" w:lineRule="auto"/>
              <w:ind w:right="0"/>
              <w:jc w:val="both"/>
              <w:textAlignment w:val="auto"/>
              <w:rPr>
                <w:rFonts w:hint="default" w:ascii="Times New Roman" w:hAnsi="Times New Roman" w:eastAsia="仿宋_GB2312" w:cs="Times New Roman"/>
                <w:b/>
                <w:bCs w:val="0"/>
                <w:color w:val="auto"/>
                <w:kern w:val="2"/>
                <w:sz w:val="24"/>
                <w:szCs w:val="24"/>
                <w:highlight w:val="none"/>
                <w:lang w:val="en-US" w:eastAsia="zh-CN" w:bidi="ar-SA"/>
              </w:rPr>
            </w:pPr>
            <w:r>
              <w:rPr>
                <w:rFonts w:hint="eastAsia" w:ascii="Times New Roman" w:hAnsi="Times New Roman" w:eastAsia="仿宋_GB2312" w:cs="Times New Roman"/>
                <w:b/>
                <w:bCs w:val="0"/>
                <w:color w:val="auto"/>
                <w:kern w:val="2"/>
                <w:sz w:val="24"/>
                <w:szCs w:val="24"/>
                <w:highlight w:val="none"/>
                <w:lang w:val="en-US" w:eastAsia="zh-CN" w:bidi="ar-SA"/>
              </w:rPr>
              <w:t>2</w:t>
            </w:r>
            <w:r>
              <w:rPr>
                <w:rFonts w:hint="default" w:ascii="Times New Roman" w:hAnsi="Times New Roman" w:eastAsia="仿宋_GB2312" w:cs="Times New Roman"/>
                <w:b/>
                <w:bCs w:val="0"/>
                <w:color w:val="auto"/>
                <w:kern w:val="2"/>
                <w:sz w:val="24"/>
                <w:szCs w:val="24"/>
                <w:highlight w:val="none"/>
                <w:lang w:val="en-US" w:eastAsia="zh-CN" w:bidi="ar-SA"/>
              </w:rPr>
              <w:t>.1 建设规模</w:t>
            </w:r>
          </w:p>
          <w:p>
            <w:pPr>
              <w:pStyle w:val="15"/>
              <w:keepNext w:val="0"/>
              <w:keepLines w:val="0"/>
              <w:pageBreakBefore w:val="0"/>
              <w:kinsoku/>
              <w:wordWrap/>
              <w:overflowPunct/>
              <w:topLinePunct w:val="0"/>
              <w:autoSpaceDE/>
              <w:autoSpaceDN/>
              <w:bidi w:val="0"/>
              <w:adjustRightInd/>
              <w:spacing w:before="0" w:after="0" w:line="360" w:lineRule="auto"/>
              <w:ind w:left="0" w:right="0" w:firstLine="480" w:firstLineChars="200"/>
              <w:jc w:val="both"/>
              <w:textAlignment w:val="auto"/>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项目建设内容包括：</w:t>
            </w:r>
          </w:p>
          <w:p>
            <w:pPr>
              <w:pStyle w:val="15"/>
              <w:keepNext w:val="0"/>
              <w:keepLines w:val="0"/>
              <w:pageBreakBefore w:val="0"/>
              <w:kinsoku/>
              <w:wordWrap/>
              <w:overflowPunct/>
              <w:topLinePunct w:val="0"/>
              <w:autoSpaceDE/>
              <w:autoSpaceDN/>
              <w:bidi w:val="0"/>
              <w:adjustRightInd/>
              <w:spacing w:before="0" w:after="0" w:line="360" w:lineRule="auto"/>
              <w:ind w:left="0" w:right="0" w:firstLine="480" w:firstLineChars="200"/>
              <w:jc w:val="both"/>
              <w:textAlignment w:val="auto"/>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（1）黄花乡沙塘村菌菇产业园区扩容提升建设工程：新建出菇棚30栋、室外</w:t>
            </w:r>
            <w:r>
              <w:rPr>
                <w:rFonts w:hint="eastAsia" w:eastAsia="仿宋_GB2312" w:cs="Times New Roman"/>
                <w:color w:val="auto"/>
                <w:kern w:val="2"/>
                <w:sz w:val="24"/>
                <w:szCs w:val="24"/>
                <w:highlight w:val="none"/>
                <w:lang w:val="en-US" w:eastAsia="zh-CN" w:bidi="ar-SA"/>
              </w:rPr>
              <w:t>给排水等</w:t>
            </w:r>
            <w:r>
              <w:rPr>
                <w:rFonts w:hint="eastAsia" w:ascii="Times New Roman" w:hAnsi="Times New Roman" w:eastAsia="仿宋_GB2312" w:cs="Times New Roman"/>
                <w:color w:val="auto"/>
                <w:kern w:val="2"/>
                <w:sz w:val="24"/>
                <w:szCs w:val="24"/>
                <w:highlight w:val="none"/>
                <w:lang w:val="en-US" w:eastAsia="zh-CN" w:bidi="ar-SA"/>
              </w:rPr>
              <w:t>附属设施建设1项；</w:t>
            </w:r>
          </w:p>
          <w:p>
            <w:pPr>
              <w:pStyle w:val="15"/>
              <w:keepNext w:val="0"/>
              <w:keepLines w:val="0"/>
              <w:pageBreakBefore w:val="0"/>
              <w:kinsoku/>
              <w:wordWrap/>
              <w:overflowPunct/>
              <w:topLinePunct w:val="0"/>
              <w:autoSpaceDE/>
              <w:autoSpaceDN/>
              <w:bidi w:val="0"/>
              <w:adjustRightInd/>
              <w:spacing w:before="0" w:after="0" w:line="360" w:lineRule="auto"/>
              <w:ind w:left="0" w:right="0" w:firstLine="480" w:firstLineChars="200"/>
              <w:jc w:val="both"/>
              <w:textAlignment w:val="auto"/>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（2）黄花乡羊槽村菌菇产业园建设工程：新建出菇棚48栋、冷库及分拣车间1座、室外</w:t>
            </w:r>
            <w:r>
              <w:rPr>
                <w:rFonts w:hint="eastAsia" w:eastAsia="仿宋_GB2312" w:cs="Times New Roman"/>
                <w:color w:val="auto"/>
                <w:kern w:val="2"/>
                <w:sz w:val="24"/>
                <w:szCs w:val="24"/>
                <w:highlight w:val="none"/>
                <w:lang w:val="en-US" w:eastAsia="zh-CN" w:bidi="ar-SA"/>
              </w:rPr>
              <w:t>给排水等</w:t>
            </w:r>
            <w:r>
              <w:rPr>
                <w:rFonts w:hint="eastAsia" w:ascii="Times New Roman" w:hAnsi="Times New Roman" w:eastAsia="仿宋_GB2312" w:cs="Times New Roman"/>
                <w:color w:val="auto"/>
                <w:kern w:val="2"/>
                <w:sz w:val="24"/>
                <w:szCs w:val="24"/>
                <w:highlight w:val="none"/>
                <w:lang w:val="en-US" w:eastAsia="zh-CN" w:bidi="ar-SA"/>
              </w:rPr>
              <w:t>附属设施建设1项；</w:t>
            </w:r>
          </w:p>
          <w:p>
            <w:pPr>
              <w:pStyle w:val="15"/>
              <w:keepNext w:val="0"/>
              <w:keepLines w:val="0"/>
              <w:pageBreakBefore w:val="0"/>
              <w:kinsoku/>
              <w:wordWrap/>
              <w:overflowPunct/>
              <w:topLinePunct w:val="0"/>
              <w:autoSpaceDE/>
              <w:autoSpaceDN/>
              <w:bidi w:val="0"/>
              <w:adjustRightInd/>
              <w:spacing w:before="0" w:after="0" w:line="360" w:lineRule="auto"/>
              <w:ind w:left="0" w:right="0" w:firstLine="480" w:firstLineChars="200"/>
              <w:jc w:val="both"/>
              <w:textAlignment w:val="auto"/>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（3）新民乡马河滩村菌菇大棚建设工程：新建出菇棚24栋、新建养菌棚4栋、室外</w:t>
            </w:r>
            <w:r>
              <w:rPr>
                <w:rFonts w:hint="eastAsia" w:eastAsia="仿宋_GB2312" w:cs="Times New Roman"/>
                <w:color w:val="auto"/>
                <w:kern w:val="2"/>
                <w:sz w:val="24"/>
                <w:szCs w:val="24"/>
                <w:highlight w:val="none"/>
                <w:lang w:val="en-US" w:eastAsia="zh-CN" w:bidi="ar-SA"/>
              </w:rPr>
              <w:t>给排水等</w:t>
            </w:r>
            <w:r>
              <w:rPr>
                <w:rFonts w:hint="eastAsia" w:ascii="Times New Roman" w:hAnsi="Times New Roman" w:eastAsia="仿宋_GB2312" w:cs="Times New Roman"/>
                <w:color w:val="auto"/>
                <w:kern w:val="2"/>
                <w:sz w:val="24"/>
                <w:szCs w:val="24"/>
                <w:highlight w:val="none"/>
                <w:lang w:val="en-US" w:eastAsia="zh-CN" w:bidi="ar-SA"/>
              </w:rPr>
              <w:t>附属设施建设1项；</w:t>
            </w:r>
          </w:p>
          <w:p>
            <w:pPr>
              <w:pStyle w:val="15"/>
              <w:keepNext w:val="0"/>
              <w:keepLines w:val="0"/>
              <w:pageBreakBefore w:val="0"/>
              <w:kinsoku/>
              <w:wordWrap/>
              <w:overflowPunct/>
              <w:topLinePunct w:val="0"/>
              <w:autoSpaceDE/>
              <w:autoSpaceDN/>
              <w:bidi w:val="0"/>
              <w:adjustRightInd/>
              <w:spacing w:before="0" w:after="0" w:line="360" w:lineRule="auto"/>
              <w:ind w:left="0" w:right="0" w:firstLine="480" w:firstLineChars="200"/>
              <w:jc w:val="both"/>
              <w:textAlignment w:val="auto"/>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（4）大湾乡养菌棚改造及木耳配套设施建设工程：新建养菌棚改造5栋、烘干车间1座、堆料车间1座、室外</w:t>
            </w:r>
            <w:r>
              <w:rPr>
                <w:rFonts w:hint="eastAsia" w:eastAsia="仿宋_GB2312" w:cs="Times New Roman"/>
                <w:color w:val="auto"/>
                <w:kern w:val="2"/>
                <w:sz w:val="24"/>
                <w:szCs w:val="24"/>
                <w:highlight w:val="none"/>
                <w:lang w:val="en-US" w:eastAsia="zh-CN" w:bidi="ar-SA"/>
              </w:rPr>
              <w:t>给排水等</w:t>
            </w:r>
            <w:r>
              <w:rPr>
                <w:rFonts w:hint="eastAsia" w:ascii="Times New Roman" w:hAnsi="Times New Roman" w:eastAsia="仿宋_GB2312" w:cs="Times New Roman"/>
                <w:color w:val="auto"/>
                <w:kern w:val="2"/>
                <w:sz w:val="24"/>
                <w:szCs w:val="24"/>
                <w:highlight w:val="none"/>
                <w:lang w:val="en-US" w:eastAsia="zh-CN" w:bidi="ar-SA"/>
              </w:rPr>
              <w:t>附属设施建设1项；</w:t>
            </w:r>
          </w:p>
          <w:p>
            <w:pPr>
              <w:pStyle w:val="15"/>
              <w:keepNext w:val="0"/>
              <w:keepLines w:val="0"/>
              <w:pageBreakBefore w:val="0"/>
              <w:kinsoku/>
              <w:wordWrap/>
              <w:overflowPunct/>
              <w:topLinePunct w:val="0"/>
              <w:autoSpaceDE/>
              <w:autoSpaceDN/>
              <w:bidi w:val="0"/>
              <w:adjustRightInd/>
              <w:spacing w:before="0" w:after="0" w:line="360" w:lineRule="auto"/>
              <w:ind w:left="0" w:right="0" w:firstLine="480" w:firstLineChars="200"/>
              <w:jc w:val="both"/>
              <w:textAlignment w:val="auto"/>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（5）香水镇卡子村菌菇产业提质扩量建设工程：新建出菇棚45栋、室外</w:t>
            </w:r>
            <w:r>
              <w:rPr>
                <w:rFonts w:hint="eastAsia" w:eastAsia="仿宋_GB2312" w:cs="Times New Roman"/>
                <w:color w:val="auto"/>
                <w:kern w:val="2"/>
                <w:sz w:val="24"/>
                <w:szCs w:val="24"/>
                <w:highlight w:val="none"/>
                <w:lang w:val="en-US" w:eastAsia="zh-CN" w:bidi="ar-SA"/>
              </w:rPr>
              <w:t>给排水等</w:t>
            </w:r>
            <w:r>
              <w:rPr>
                <w:rFonts w:hint="eastAsia" w:ascii="Times New Roman" w:hAnsi="Times New Roman" w:eastAsia="仿宋_GB2312" w:cs="Times New Roman"/>
                <w:color w:val="auto"/>
                <w:kern w:val="2"/>
                <w:sz w:val="24"/>
                <w:szCs w:val="24"/>
                <w:highlight w:val="none"/>
                <w:lang w:val="en-US" w:eastAsia="zh-CN" w:bidi="ar-SA"/>
              </w:rPr>
              <w:t>附属设施建设1项；</w:t>
            </w:r>
          </w:p>
          <w:p>
            <w:pPr>
              <w:pStyle w:val="15"/>
              <w:keepNext w:val="0"/>
              <w:keepLines w:val="0"/>
              <w:pageBreakBefore w:val="0"/>
              <w:kinsoku/>
              <w:wordWrap/>
              <w:overflowPunct/>
              <w:topLinePunct w:val="0"/>
              <w:autoSpaceDE/>
              <w:autoSpaceDN/>
              <w:bidi w:val="0"/>
              <w:adjustRightInd/>
              <w:spacing w:before="0" w:after="0" w:line="360" w:lineRule="auto"/>
              <w:ind w:left="0" w:right="0" w:firstLine="480" w:firstLineChars="200"/>
              <w:jc w:val="both"/>
              <w:textAlignment w:val="auto"/>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（6）香水镇米岗村新建菌菇棚建设工程：新建出菇棚30栋、室外</w:t>
            </w:r>
            <w:r>
              <w:rPr>
                <w:rFonts w:hint="eastAsia" w:eastAsia="仿宋_GB2312" w:cs="Times New Roman"/>
                <w:color w:val="auto"/>
                <w:kern w:val="2"/>
                <w:sz w:val="24"/>
                <w:szCs w:val="24"/>
                <w:highlight w:val="none"/>
                <w:lang w:val="en-US" w:eastAsia="zh-CN" w:bidi="ar-SA"/>
              </w:rPr>
              <w:t>给排水等</w:t>
            </w:r>
            <w:r>
              <w:rPr>
                <w:rFonts w:hint="eastAsia" w:ascii="Times New Roman" w:hAnsi="Times New Roman" w:eastAsia="仿宋_GB2312" w:cs="Times New Roman"/>
                <w:color w:val="auto"/>
                <w:kern w:val="2"/>
                <w:sz w:val="24"/>
                <w:szCs w:val="24"/>
                <w:highlight w:val="none"/>
                <w:lang w:val="en-US" w:eastAsia="zh-CN" w:bidi="ar-SA"/>
              </w:rPr>
              <w:t>附属设施建设1项；</w:t>
            </w:r>
          </w:p>
          <w:p>
            <w:pPr>
              <w:pStyle w:val="15"/>
              <w:keepNext w:val="0"/>
              <w:keepLines w:val="0"/>
              <w:pageBreakBefore w:val="0"/>
              <w:kinsoku/>
              <w:wordWrap/>
              <w:overflowPunct/>
              <w:topLinePunct w:val="0"/>
              <w:autoSpaceDE/>
              <w:autoSpaceDN/>
              <w:bidi w:val="0"/>
              <w:adjustRightInd/>
              <w:spacing w:before="0" w:after="0" w:line="360" w:lineRule="auto"/>
              <w:ind w:left="0" w:right="0" w:firstLine="480" w:firstLineChars="200"/>
              <w:jc w:val="both"/>
              <w:textAlignment w:val="auto"/>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（7）兴盛乡兴盛村特色农业设施大棚建设工程：新建出菇棚12栋、新建采摘棚6栋、室外</w:t>
            </w:r>
            <w:r>
              <w:rPr>
                <w:rFonts w:hint="eastAsia" w:eastAsia="仿宋_GB2312" w:cs="Times New Roman"/>
                <w:color w:val="auto"/>
                <w:kern w:val="2"/>
                <w:sz w:val="24"/>
                <w:szCs w:val="24"/>
                <w:highlight w:val="none"/>
                <w:lang w:val="en-US" w:eastAsia="zh-CN" w:bidi="ar-SA"/>
              </w:rPr>
              <w:t>给排水等</w:t>
            </w:r>
            <w:r>
              <w:rPr>
                <w:rFonts w:hint="eastAsia" w:ascii="Times New Roman" w:hAnsi="Times New Roman" w:eastAsia="仿宋_GB2312" w:cs="Times New Roman"/>
                <w:color w:val="auto"/>
                <w:kern w:val="2"/>
                <w:sz w:val="24"/>
                <w:szCs w:val="24"/>
                <w:highlight w:val="none"/>
                <w:lang w:val="en-US" w:eastAsia="zh-CN" w:bidi="ar-SA"/>
              </w:rPr>
              <w:t>附属设施建设1项；</w:t>
            </w:r>
          </w:p>
          <w:p>
            <w:pPr>
              <w:pStyle w:val="15"/>
              <w:keepNext w:val="0"/>
              <w:keepLines w:val="0"/>
              <w:pageBreakBefore w:val="0"/>
              <w:kinsoku/>
              <w:wordWrap/>
              <w:overflowPunct/>
              <w:topLinePunct w:val="0"/>
              <w:autoSpaceDE/>
              <w:autoSpaceDN/>
              <w:bidi w:val="0"/>
              <w:adjustRightInd/>
              <w:spacing w:before="0" w:after="0" w:line="360" w:lineRule="auto"/>
              <w:ind w:left="0" w:right="0" w:firstLine="480" w:firstLineChars="200"/>
              <w:jc w:val="both"/>
              <w:textAlignment w:val="auto"/>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（8）泾河源镇白面村新建菌菇棚建设工程：新建出菇棚109栋、新建养菌棚 21栋、室外</w:t>
            </w:r>
            <w:r>
              <w:rPr>
                <w:rFonts w:hint="eastAsia" w:eastAsia="仿宋_GB2312" w:cs="Times New Roman"/>
                <w:color w:val="auto"/>
                <w:kern w:val="2"/>
                <w:sz w:val="24"/>
                <w:szCs w:val="24"/>
                <w:highlight w:val="none"/>
                <w:lang w:val="en-US" w:eastAsia="zh-CN" w:bidi="ar-SA"/>
              </w:rPr>
              <w:t>给排水等</w:t>
            </w:r>
            <w:r>
              <w:rPr>
                <w:rFonts w:hint="eastAsia" w:ascii="Times New Roman" w:hAnsi="Times New Roman" w:eastAsia="仿宋_GB2312" w:cs="Times New Roman"/>
                <w:color w:val="auto"/>
                <w:kern w:val="2"/>
                <w:sz w:val="24"/>
                <w:szCs w:val="24"/>
                <w:highlight w:val="none"/>
                <w:lang w:val="en-US" w:eastAsia="zh-CN" w:bidi="ar-SA"/>
              </w:rPr>
              <w:t>附属设施建设1项；</w:t>
            </w:r>
          </w:p>
          <w:p>
            <w:pPr>
              <w:pStyle w:val="15"/>
              <w:keepNext w:val="0"/>
              <w:keepLines w:val="0"/>
              <w:pageBreakBefore w:val="0"/>
              <w:kinsoku/>
              <w:wordWrap/>
              <w:overflowPunct/>
              <w:topLinePunct w:val="0"/>
              <w:autoSpaceDE/>
              <w:autoSpaceDN/>
              <w:bidi w:val="0"/>
              <w:adjustRightInd/>
              <w:spacing w:before="0" w:after="0" w:line="360" w:lineRule="auto"/>
              <w:ind w:left="0" w:right="0" w:firstLine="480" w:firstLineChars="200"/>
              <w:jc w:val="both"/>
              <w:textAlignment w:val="auto"/>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（9）泾河源镇白面村菌菇产业园区建设工程：菌棒加工车间1座、室外</w:t>
            </w:r>
            <w:r>
              <w:rPr>
                <w:rFonts w:hint="eastAsia" w:eastAsia="仿宋_GB2312" w:cs="Times New Roman"/>
                <w:color w:val="auto"/>
                <w:kern w:val="2"/>
                <w:sz w:val="24"/>
                <w:szCs w:val="24"/>
                <w:highlight w:val="none"/>
                <w:lang w:val="en-US" w:eastAsia="zh-CN" w:bidi="ar-SA"/>
              </w:rPr>
              <w:t>给排水等</w:t>
            </w:r>
            <w:r>
              <w:rPr>
                <w:rFonts w:hint="eastAsia" w:ascii="Times New Roman" w:hAnsi="Times New Roman" w:eastAsia="仿宋_GB2312" w:cs="Times New Roman"/>
                <w:color w:val="auto"/>
                <w:kern w:val="2"/>
                <w:sz w:val="24"/>
                <w:szCs w:val="24"/>
                <w:highlight w:val="none"/>
                <w:lang w:val="en-US" w:eastAsia="zh-CN" w:bidi="ar-SA"/>
              </w:rPr>
              <w:t>附属设施建设1项。</w:t>
            </w:r>
          </w:p>
          <w:p>
            <w:pPr>
              <w:keepNext w:val="0"/>
              <w:keepLines w:val="0"/>
              <w:pageBreakBefore w:val="0"/>
              <w:widowControl w:val="0"/>
              <w:kinsoku/>
              <w:wordWrap/>
              <w:overflowPunct/>
              <w:topLinePunct w:val="0"/>
              <w:autoSpaceDE/>
              <w:autoSpaceDN/>
              <w:bidi w:val="0"/>
              <w:adjustRightInd w:val="0"/>
              <w:spacing w:line="360" w:lineRule="auto"/>
              <w:ind w:firstLine="480" w:firstLineChars="200"/>
              <w:textAlignment w:val="auto"/>
              <w:rPr>
                <w:rFonts w:hint="default" w:ascii="Times New Roman" w:hAnsi="Times New Roman" w:eastAsia="仿宋_GB2312" w:cs="Times New Roman"/>
                <w:b/>
                <w:bCs/>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项目工程组成由主体工程</w:t>
            </w:r>
            <w:r>
              <w:rPr>
                <w:rFonts w:hint="eastAsia" w:eastAsia="仿宋_GB2312" w:cs="Times New Roman"/>
                <w:color w:val="auto"/>
                <w:sz w:val="24"/>
                <w:szCs w:val="24"/>
                <w:highlight w:val="none"/>
                <w:lang w:val="en-US" w:eastAsia="zh-CN"/>
              </w:rPr>
              <w:t>、</w:t>
            </w:r>
            <w:r>
              <w:rPr>
                <w:rFonts w:hint="default" w:ascii="Times New Roman" w:hAnsi="Times New Roman" w:eastAsia="仿宋_GB2312" w:cs="Times New Roman"/>
                <w:color w:val="auto"/>
                <w:sz w:val="24"/>
                <w:szCs w:val="24"/>
                <w:highlight w:val="none"/>
                <w:lang w:val="en-US" w:eastAsia="zh-CN"/>
              </w:rPr>
              <w:t>公用工程、环保工程组成。本项目工程组成见下表：</w:t>
            </w:r>
          </w:p>
          <w:p>
            <w:pPr>
              <w:adjustRightInd w:val="0"/>
              <w:ind w:firstLine="420" w:firstLineChars="200"/>
              <w:jc w:val="both"/>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val="0"/>
                <w:bCs w:val="0"/>
                <w:color w:val="auto"/>
                <w:sz w:val="21"/>
                <w:szCs w:val="21"/>
                <w:highlight w:val="none"/>
              </w:rPr>
              <w:t>表</w:t>
            </w:r>
            <w:r>
              <w:rPr>
                <w:rFonts w:hint="eastAsia" w:cs="Times New Roman"/>
                <w:b w:val="0"/>
                <w:bCs w:val="0"/>
                <w:color w:val="auto"/>
                <w:sz w:val="21"/>
                <w:szCs w:val="21"/>
                <w:highlight w:val="none"/>
                <w:lang w:val="en-US" w:eastAsia="zh-CN"/>
              </w:rPr>
              <w:t>4</w:t>
            </w:r>
            <w:r>
              <w:rPr>
                <w:rFonts w:hint="default" w:ascii="Times New Roman" w:hAnsi="Times New Roman" w:eastAsia="宋体" w:cs="Times New Roman"/>
                <w:b w:val="0"/>
                <w:bCs w:val="0"/>
                <w:color w:val="auto"/>
                <w:sz w:val="21"/>
                <w:szCs w:val="21"/>
                <w:highlight w:val="none"/>
              </w:rPr>
              <w:t xml:space="preserve"> </w:t>
            </w:r>
            <w:r>
              <w:rPr>
                <w:rFonts w:hint="eastAsia" w:ascii="Times New Roman" w:hAnsi="Times New Roman" w:eastAsia="宋体" w:cs="Times New Roman"/>
                <w:b w:val="0"/>
                <w:bCs w:val="0"/>
                <w:color w:val="auto"/>
                <w:sz w:val="21"/>
                <w:szCs w:val="21"/>
                <w:highlight w:val="none"/>
                <w:lang w:val="en-US" w:eastAsia="zh-CN"/>
              </w:rPr>
              <w:t xml:space="preserve">           </w:t>
            </w:r>
            <w:r>
              <w:rPr>
                <w:rFonts w:hint="default" w:ascii="Times New Roman" w:hAnsi="Times New Roman" w:eastAsia="宋体" w:cs="Times New Roman"/>
                <w:b w:val="0"/>
                <w:bCs w:val="0"/>
                <w:color w:val="auto"/>
                <w:sz w:val="21"/>
                <w:szCs w:val="21"/>
                <w:highlight w:val="none"/>
              </w:rPr>
              <w:t xml:space="preserve">  </w:t>
            </w:r>
            <w:r>
              <w:rPr>
                <w:rFonts w:hint="default" w:ascii="Times New Roman" w:hAnsi="Times New Roman" w:eastAsia="宋体" w:cs="Times New Roman"/>
                <w:b/>
                <w:bCs/>
                <w:color w:val="auto"/>
                <w:sz w:val="24"/>
                <w:szCs w:val="24"/>
                <w:highlight w:val="none"/>
              </w:rPr>
              <w:t>项目工程组成一览表</w:t>
            </w:r>
          </w:p>
          <w:tbl>
            <w:tblPr>
              <w:tblStyle w:val="35"/>
              <w:tblW w:w="501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75"/>
              <w:gridCol w:w="355"/>
              <w:gridCol w:w="2"/>
              <w:gridCol w:w="719"/>
              <w:gridCol w:w="723"/>
              <w:gridCol w:w="1"/>
              <w:gridCol w:w="3"/>
              <w:gridCol w:w="6315"/>
              <w:gridCol w:w="1"/>
              <w:gridCol w:w="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0" w:type="pct"/>
                <w:trHeight w:val="644" w:hRule="atLeast"/>
                <w:tblHeader/>
                <w:jc w:val="center"/>
              </w:trPr>
              <w:tc>
                <w:tcPr>
                  <w:tcW w:w="428" w:type="pct"/>
                  <w:gridSpan w:val="2"/>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工程类别</w:t>
                  </w:r>
                </w:p>
              </w:tc>
              <w:tc>
                <w:tcPr>
                  <w:tcW w:w="848" w:type="pct"/>
                  <w:gridSpan w:val="4"/>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项目名称</w:t>
                  </w:r>
                </w:p>
              </w:tc>
              <w:tc>
                <w:tcPr>
                  <w:tcW w:w="3711" w:type="pct"/>
                  <w:gridSpan w:val="3"/>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项目内容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0" w:type="pct"/>
                <w:trHeight w:val="928" w:hRule="atLeast"/>
                <w:jc w:val="center"/>
              </w:trPr>
              <w:tc>
                <w:tcPr>
                  <w:tcW w:w="428" w:type="pct"/>
                  <w:gridSpan w:val="2"/>
                  <w:vMerge w:val="restart"/>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主体工程</w:t>
                  </w:r>
                </w:p>
              </w:tc>
              <w:tc>
                <w:tcPr>
                  <w:tcW w:w="848" w:type="pct"/>
                  <w:gridSpan w:val="4"/>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黄花乡沙塘村菌菇产业园区扩容提升建设工程</w:t>
                  </w:r>
                </w:p>
              </w:tc>
              <w:tc>
                <w:tcPr>
                  <w:tcW w:w="3711" w:type="pct"/>
                  <w:gridSpan w:val="3"/>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新建出菇棚30栋包括场地平整8880平方米</w:t>
                  </w:r>
                  <w:r>
                    <w:rPr>
                      <w:rFonts w:hint="eastAsia" w:ascii="Times New Roman" w:cs="Times New Roman"/>
                      <w:color w:val="auto"/>
                      <w:sz w:val="21"/>
                      <w:szCs w:val="21"/>
                      <w:highlight w:val="none"/>
                      <w:lang w:val="en-US" w:eastAsia="zh-CN"/>
                    </w:rPr>
                    <w:t>；室外工程包括砂砾石硬化1122平方米、阀门井2座、De75聚乙烯PE管140.94米、De90聚乙烯PE管387.8米、YJLV22电缆1681.04米、YJLV22-4*16杆式变压器SCB13-200KVA1台、AW配电箱6台。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0" w:type="pct"/>
                <w:trHeight w:val="222" w:hRule="atLeast"/>
                <w:jc w:val="center"/>
              </w:trPr>
              <w:tc>
                <w:tcPr>
                  <w:tcW w:w="428" w:type="pct"/>
                  <w:gridSpan w:val="2"/>
                  <w:vMerge w:val="continue"/>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highlight w:val="none"/>
                    </w:rPr>
                  </w:pPr>
                </w:p>
              </w:tc>
              <w:tc>
                <w:tcPr>
                  <w:tcW w:w="848" w:type="pct"/>
                  <w:gridSpan w:val="4"/>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黄花乡羊槽村菌菇产业园建设工程</w:t>
                  </w:r>
                </w:p>
              </w:tc>
              <w:tc>
                <w:tcPr>
                  <w:tcW w:w="3711" w:type="pct"/>
                  <w:gridSpan w:val="3"/>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出菇棚48栋包括场地平整10304平方米；新建冷库及分拣车间721.31平方米，包括场地平整908.69平方米；室外工程包括砂砾石硬化3030平方米、混凝土硬化3058平方米；混凝土井11座、De160钢丝网架塑料复合管211.68米、De125钢丝网架塑料复合管65米、De110钢丝网架塑料复合管32.36米、De200 高密度聚乙烯HDPE双壁波纹管161.42米、干式变压器1台、YJLV电缆318.4米、YJV22电缆2970.96米。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0" w:type="pct"/>
                <w:trHeight w:val="928" w:hRule="atLeast"/>
                <w:jc w:val="center"/>
              </w:trPr>
              <w:tc>
                <w:tcPr>
                  <w:tcW w:w="428" w:type="pct"/>
                  <w:gridSpan w:val="2"/>
                  <w:vMerge w:val="continue"/>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highlight w:val="none"/>
                    </w:rPr>
                  </w:pPr>
                </w:p>
              </w:tc>
              <w:tc>
                <w:tcPr>
                  <w:tcW w:w="848" w:type="pct"/>
                  <w:gridSpan w:val="4"/>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新民乡马河滩村菌菇大棚建设工程</w:t>
                  </w:r>
                </w:p>
              </w:tc>
              <w:tc>
                <w:tcPr>
                  <w:tcW w:w="3711" w:type="pct"/>
                  <w:gridSpan w:val="3"/>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出菇棚24栋包括场地平整8832平方米；新建养菌棚4栋包括场地平整3072平方米；室外工程包括砂砾石硬化2726平方米、100方蓄水池1座、阀门井3座、De75聚乙烯PE管162.54米、De80聚乙烯PE管34.77米、De90聚乙烯PE管593.68米、YJLV22电缆 2070.13米、250kva变压器1台、AW配电箱6台。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0" w:type="pct"/>
                <w:trHeight w:val="928" w:hRule="atLeast"/>
                <w:jc w:val="center"/>
              </w:trPr>
              <w:tc>
                <w:tcPr>
                  <w:tcW w:w="428" w:type="pct"/>
                  <w:gridSpan w:val="2"/>
                  <w:vMerge w:val="continue"/>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highlight w:val="none"/>
                    </w:rPr>
                  </w:pPr>
                </w:p>
              </w:tc>
              <w:tc>
                <w:tcPr>
                  <w:tcW w:w="848" w:type="pct"/>
                  <w:gridSpan w:val="4"/>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大湾乡养菌棚改造及木耳配套设施建设工程总平面设计</w:t>
                  </w:r>
                </w:p>
              </w:tc>
              <w:tc>
                <w:tcPr>
                  <w:tcW w:w="3711" w:type="pct"/>
                  <w:gridSpan w:val="3"/>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改造5栋养菌棚，包括山墙增加保温板414.7平方米。新建868.47平方米烘干车间1座，包括土建工程。新建357.43平方米堆料车间1座，包括土建工程。</w:t>
                  </w:r>
                </w:p>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室外工程包括200方蓄水池1座、阀门井4座、De75聚乙烯PE管4米、De90聚乙烯PE管112.3米、De110聚乙烯PE管52.22米、YJLV22电缆328.47米。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0" w:type="pct"/>
                <w:trHeight w:val="1340" w:hRule="atLeast"/>
                <w:jc w:val="center"/>
              </w:trPr>
              <w:tc>
                <w:tcPr>
                  <w:tcW w:w="428" w:type="pct"/>
                  <w:gridSpan w:val="2"/>
                  <w:vMerge w:val="continue"/>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highlight w:val="none"/>
                    </w:rPr>
                  </w:pPr>
                </w:p>
              </w:tc>
              <w:tc>
                <w:tcPr>
                  <w:tcW w:w="848" w:type="pct"/>
                  <w:gridSpan w:val="4"/>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香水镇卡子村菌菇产业提质扩量建设工程</w:t>
                  </w:r>
                </w:p>
              </w:tc>
              <w:tc>
                <w:tcPr>
                  <w:tcW w:w="3711" w:type="pct"/>
                  <w:gridSpan w:val="3"/>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出菇棚45栋包括场地平整16560平方米；室外工程包括砂砾石硬化3340平方米、100方蓄水池1座、阀门井8座、De75聚乙烯PE管265米、De90聚乙烯PE管590米、De110聚乙烯PE管168米、YJLV22电缆3030.18米、160KVA杆式变压器1台、AW配电箱7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0" w:type="pct"/>
                <w:trHeight w:val="928" w:hRule="atLeast"/>
                <w:jc w:val="center"/>
              </w:trPr>
              <w:tc>
                <w:tcPr>
                  <w:tcW w:w="428" w:type="pct"/>
                  <w:gridSpan w:val="2"/>
                  <w:vMerge w:val="continue"/>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highlight w:val="none"/>
                    </w:rPr>
                  </w:pPr>
                </w:p>
              </w:tc>
              <w:tc>
                <w:tcPr>
                  <w:tcW w:w="848" w:type="pct"/>
                  <w:gridSpan w:val="4"/>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香水镇米岗村新建菌菇棚建设工程</w:t>
                  </w:r>
                </w:p>
              </w:tc>
              <w:tc>
                <w:tcPr>
                  <w:tcW w:w="3711" w:type="pct"/>
                  <w:gridSpan w:val="3"/>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新建出菇棚30栋包括场地平整9200平方米；室外工程包括砂砾石硬化2104平方米、阀门井2座、De75聚乙烯PE管145米、De90聚乙烯PE管395米、YJLV22电缆1680米、YJLV22-4*16杆式变压器SCB13-200KVA1台、AW配电箱6台。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0" w:type="pct"/>
                <w:trHeight w:val="928" w:hRule="atLeast"/>
                <w:jc w:val="center"/>
              </w:trPr>
              <w:tc>
                <w:tcPr>
                  <w:tcW w:w="428" w:type="pct"/>
                  <w:gridSpan w:val="2"/>
                  <w:vMerge w:val="continue"/>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highlight w:val="none"/>
                    </w:rPr>
                  </w:pPr>
                </w:p>
              </w:tc>
              <w:tc>
                <w:tcPr>
                  <w:tcW w:w="848" w:type="pct"/>
                  <w:gridSpan w:val="4"/>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兴盛乡兴盛村特色农业设施大棚</w:t>
                  </w:r>
                </w:p>
              </w:tc>
              <w:tc>
                <w:tcPr>
                  <w:tcW w:w="3711" w:type="pct"/>
                  <w:gridSpan w:val="3"/>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新建出菇棚12栋包括场地平整4416 平方米；新建采摘棚6栋包括场地平整6036平方米；室外工程包括砂砾石硬化1606平方米、100方蓄水池1座、阀门井3座、De75聚乙烯PE管100米、De90聚乙烯PE管500米、YJLV22电缆1296.07米、200KVA杆式变压器1台、AW配电箱4台。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0" w:type="pct"/>
                <w:trHeight w:val="928" w:hRule="atLeast"/>
                <w:jc w:val="center"/>
              </w:trPr>
              <w:tc>
                <w:tcPr>
                  <w:tcW w:w="428" w:type="pct"/>
                  <w:gridSpan w:val="2"/>
                  <w:vMerge w:val="continue"/>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highlight w:val="none"/>
                    </w:rPr>
                  </w:pPr>
                </w:p>
              </w:tc>
              <w:tc>
                <w:tcPr>
                  <w:tcW w:w="848" w:type="pct"/>
                  <w:gridSpan w:val="4"/>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泾河源镇白面村新建菌菇棚建设工程</w:t>
                  </w:r>
                </w:p>
              </w:tc>
              <w:tc>
                <w:tcPr>
                  <w:tcW w:w="3711" w:type="pct"/>
                  <w:gridSpan w:val="3"/>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出菇棚109栋包括场地平整40112平方米；新建养菌棚21栋包括场地平整16128平方米；室外工程包括砂砾石硬化10244平方米、100方蓄水池1座、阀门井3座、De75聚乙烯PE管270米、De90聚乙烯PE管830米、De110聚乙烯PE管900米、De160聚乙烯PE管450米、YJLV22电缆10180.62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0" w:type="pct"/>
                <w:trHeight w:val="928" w:hRule="atLeast"/>
                <w:jc w:val="center"/>
              </w:trPr>
              <w:tc>
                <w:tcPr>
                  <w:tcW w:w="428" w:type="pct"/>
                  <w:gridSpan w:val="2"/>
                  <w:vMerge w:val="continue"/>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highlight w:val="none"/>
                    </w:rPr>
                  </w:pPr>
                </w:p>
              </w:tc>
              <w:tc>
                <w:tcPr>
                  <w:tcW w:w="848" w:type="pct"/>
                  <w:gridSpan w:val="4"/>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泾河源镇白面村菌菇产业园区建设工程</w:t>
                  </w:r>
                </w:p>
              </w:tc>
              <w:tc>
                <w:tcPr>
                  <w:tcW w:w="3711" w:type="pct"/>
                  <w:gridSpan w:val="3"/>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新建菌棒加工车间3300.71平方米，</w:t>
                  </w:r>
                  <w:r>
                    <w:rPr>
                      <w:rFonts w:hint="eastAsia" w:ascii="Times New Roman" w:cs="Times New Roman"/>
                      <w:color w:val="auto"/>
                      <w:sz w:val="21"/>
                      <w:szCs w:val="21"/>
                      <w:highlight w:val="none"/>
                      <w:lang w:val="en-US" w:eastAsia="zh-CN"/>
                    </w:rPr>
                    <w:t>菌棒加工车间内设空气能热泵及高压灭菌锅。</w:t>
                  </w:r>
                  <w:r>
                    <w:rPr>
                      <w:rFonts w:hint="default" w:ascii="Times New Roman" w:hAnsi="Times New Roman" w:eastAsia="宋体" w:cs="Times New Roman"/>
                      <w:color w:val="auto"/>
                      <w:sz w:val="21"/>
                      <w:szCs w:val="21"/>
                      <w:highlight w:val="none"/>
                      <w:lang w:val="en-US" w:eastAsia="zh-CN"/>
                    </w:rPr>
                    <w:t>场地平整3690.53平方米；De63PP-R塑料15.81米、De50PP-R塑料4.95米、De40PP-R塑料10.15米、De32PP-R塑料6.4米、De20PP-R塑料11.48米、De110高密度聚乙烯PE管72米；配电箱12台、YJV22电缆63.83米、YJV电缆907.13米、ZH-YJV电缆4.05米。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2"/>
                <w:wAfter w:w="11" w:type="pct"/>
                <w:trHeight w:val="621" w:hRule="atLeast"/>
                <w:jc w:val="center"/>
              </w:trPr>
              <w:tc>
                <w:tcPr>
                  <w:tcW w:w="428" w:type="pct"/>
                  <w:gridSpan w:val="2"/>
                  <w:vMerge w:val="restart"/>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辅助</w:t>
                  </w:r>
                  <w:r>
                    <w:rPr>
                      <w:rFonts w:hint="default" w:ascii="Times New Roman" w:hAnsi="Times New Roman" w:eastAsia="宋体" w:cs="Times New Roman"/>
                      <w:b/>
                      <w:bCs/>
                      <w:color w:val="auto"/>
                      <w:sz w:val="21"/>
                      <w:szCs w:val="21"/>
                      <w:highlight w:val="none"/>
                    </w:rPr>
                    <w:t>工程</w:t>
                  </w:r>
                </w:p>
              </w:tc>
              <w:tc>
                <w:tcPr>
                  <w:tcW w:w="423" w:type="pct"/>
                  <w:gridSpan w:val="2"/>
                  <w:vMerge w:val="restart"/>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大湾乡养菌棚改造及木耳配套设施建设工程</w:t>
                  </w:r>
                </w:p>
              </w:tc>
              <w:tc>
                <w:tcPr>
                  <w:tcW w:w="424" w:type="pct"/>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室外工程</w:t>
                  </w:r>
                </w:p>
              </w:tc>
              <w:tc>
                <w:tcPr>
                  <w:tcW w:w="3711" w:type="pct"/>
                  <w:gridSpan w:val="3"/>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建设200m</w:t>
                  </w:r>
                  <w:r>
                    <w:rPr>
                      <w:rFonts w:hint="eastAsia" w:ascii="Times New Roman" w:cs="Times New Roman"/>
                      <w:color w:val="auto"/>
                      <w:sz w:val="21"/>
                      <w:szCs w:val="21"/>
                      <w:highlight w:val="none"/>
                      <w:vertAlign w:val="superscript"/>
                      <w:lang w:val="en-US" w:eastAsia="zh-CN"/>
                    </w:rPr>
                    <w:t>3</w:t>
                  </w:r>
                  <w:r>
                    <w:rPr>
                      <w:rFonts w:hint="eastAsia" w:ascii="Times New Roman" w:cs="Times New Roman"/>
                      <w:color w:val="auto"/>
                      <w:sz w:val="21"/>
                      <w:szCs w:val="21"/>
                      <w:highlight w:val="none"/>
                      <w:lang w:val="en-US" w:eastAsia="zh-CN"/>
                    </w:rPr>
                    <w:t>蓄水池1座、阀门井4座、De75聚乙烯PE管4米、De90聚乙烯PE管112.3米、De110聚乙烯PE管52.22米、YJLV22电缆328.47米。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2"/>
                <w:wAfter w:w="11" w:type="pct"/>
                <w:trHeight w:val="421" w:hRule="atLeast"/>
                <w:jc w:val="center"/>
              </w:trPr>
              <w:tc>
                <w:tcPr>
                  <w:tcW w:w="428" w:type="pct"/>
                  <w:gridSpan w:val="2"/>
                  <w:vMerge w:val="continue"/>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eastAsia="zh-CN"/>
                    </w:rPr>
                  </w:pPr>
                </w:p>
              </w:tc>
              <w:tc>
                <w:tcPr>
                  <w:tcW w:w="423" w:type="pct"/>
                  <w:gridSpan w:val="2"/>
                  <w:vMerge w:val="continue"/>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cs="Times New Roman"/>
                      <w:color w:val="auto"/>
                      <w:sz w:val="21"/>
                      <w:szCs w:val="21"/>
                      <w:highlight w:val="none"/>
                      <w:lang w:val="en-US" w:eastAsia="zh-CN"/>
                    </w:rPr>
                  </w:pPr>
                </w:p>
              </w:tc>
              <w:tc>
                <w:tcPr>
                  <w:tcW w:w="424" w:type="pct"/>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烘干车间</w:t>
                  </w:r>
                </w:p>
              </w:tc>
              <w:tc>
                <w:tcPr>
                  <w:tcW w:w="3711" w:type="pct"/>
                  <w:gridSpan w:val="3"/>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新建</w:t>
                  </w:r>
                  <w:r>
                    <w:rPr>
                      <w:rFonts w:hint="default" w:ascii="Times New Roman" w:cs="Times New Roman"/>
                      <w:color w:val="auto"/>
                      <w:sz w:val="21"/>
                      <w:szCs w:val="21"/>
                      <w:highlight w:val="none"/>
                      <w:lang w:val="en-US" w:eastAsia="zh-CN"/>
                    </w:rPr>
                    <w:t>868.47</w:t>
                  </w:r>
                  <w:r>
                    <w:rPr>
                      <w:rFonts w:hint="eastAsia" w:ascii="Times New Roman" w:cs="Times New Roman"/>
                      <w:color w:val="auto"/>
                      <w:sz w:val="21"/>
                      <w:szCs w:val="21"/>
                      <w:highlight w:val="none"/>
                      <w:lang w:val="en-US" w:eastAsia="zh-CN"/>
                    </w:rPr>
                    <w:t>平方米烘干车间</w:t>
                  </w:r>
                  <w:r>
                    <w:rPr>
                      <w:rFonts w:hint="default" w:ascii="Times New Roman" w:cs="Times New Roman"/>
                      <w:color w:val="auto"/>
                      <w:sz w:val="21"/>
                      <w:szCs w:val="21"/>
                      <w:highlight w:val="none"/>
                      <w:lang w:val="en-US" w:eastAsia="zh-CN"/>
                    </w:rPr>
                    <w:t>1</w:t>
                  </w:r>
                  <w:r>
                    <w:rPr>
                      <w:rFonts w:hint="eastAsia" w:ascii="Times New Roman" w:cs="Times New Roman"/>
                      <w:color w:val="auto"/>
                      <w:sz w:val="21"/>
                      <w:szCs w:val="21"/>
                      <w:highlight w:val="none"/>
                      <w:lang w:val="en-US" w:eastAsia="zh-CN"/>
                    </w:rPr>
                    <w:t>座，用于菌菇烘干，采取电烘干方式。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2"/>
                <w:wAfter w:w="11" w:type="pct"/>
                <w:trHeight w:val="421" w:hRule="atLeast"/>
                <w:jc w:val="center"/>
              </w:trPr>
              <w:tc>
                <w:tcPr>
                  <w:tcW w:w="428" w:type="pct"/>
                  <w:gridSpan w:val="2"/>
                  <w:vMerge w:val="continue"/>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eastAsia="zh-CN"/>
                    </w:rPr>
                  </w:pPr>
                </w:p>
              </w:tc>
              <w:tc>
                <w:tcPr>
                  <w:tcW w:w="423" w:type="pct"/>
                  <w:gridSpan w:val="2"/>
                  <w:vMerge w:val="continue"/>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cs="Times New Roman"/>
                      <w:color w:val="auto"/>
                      <w:sz w:val="21"/>
                      <w:szCs w:val="21"/>
                      <w:highlight w:val="none"/>
                      <w:lang w:val="en-US" w:eastAsia="zh-CN"/>
                    </w:rPr>
                  </w:pPr>
                </w:p>
              </w:tc>
              <w:tc>
                <w:tcPr>
                  <w:tcW w:w="424" w:type="pct"/>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堆料车间</w:t>
                  </w:r>
                </w:p>
              </w:tc>
              <w:tc>
                <w:tcPr>
                  <w:tcW w:w="3711" w:type="pct"/>
                  <w:gridSpan w:val="3"/>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新建357.43</w:t>
                  </w:r>
                  <w:r>
                    <w:rPr>
                      <w:rFonts w:hint="eastAsia" w:ascii="Times New Roman" w:cs="Times New Roman"/>
                      <w:color w:val="auto"/>
                      <w:sz w:val="21"/>
                      <w:szCs w:val="21"/>
                      <w:highlight w:val="none"/>
                      <w:lang w:val="en-US" w:eastAsia="zh-CN"/>
                    </w:rPr>
                    <w:t>m</w:t>
                  </w:r>
                  <w:r>
                    <w:rPr>
                      <w:rFonts w:hint="eastAsia" w:ascii="Times New Roman"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堆料车间1座</w:t>
                  </w:r>
                  <w:r>
                    <w:rPr>
                      <w:rFonts w:hint="eastAsia" w:ascii="Times New Roman" w:cs="Times New Roman"/>
                      <w:color w:val="auto"/>
                      <w:sz w:val="21"/>
                      <w:szCs w:val="21"/>
                      <w:highlight w:val="none"/>
                      <w:lang w:val="en-US" w:eastAsia="zh-CN"/>
                    </w:rPr>
                    <w:t>，用于储存菌棒原材料。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9" w:type="pct"/>
                  <w:gridSpan w:val="3"/>
                  <w:vMerge w:val="restart"/>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临时工程</w:t>
                  </w:r>
                </w:p>
              </w:tc>
              <w:tc>
                <w:tcPr>
                  <w:tcW w:w="849" w:type="pct"/>
                  <w:gridSpan w:val="4"/>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施工道路</w:t>
                  </w:r>
                </w:p>
              </w:tc>
              <w:tc>
                <w:tcPr>
                  <w:tcW w:w="3720" w:type="pct"/>
                  <w:gridSpan w:val="3"/>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本项目不设施工便道，外部施工道路依托现有乡镇道路</w:t>
                  </w:r>
                  <w:r>
                    <w:rPr>
                      <w:rFonts w:hint="eastAsia" w:ascii="Times New Roman" w:cs="Times New Roman"/>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9" w:type="pct"/>
                  <w:gridSpan w:val="3"/>
                  <w:vMerge w:val="continue"/>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eastAsia="zh-CN"/>
                    </w:rPr>
                  </w:pPr>
                </w:p>
              </w:tc>
              <w:tc>
                <w:tcPr>
                  <w:tcW w:w="849" w:type="pct"/>
                  <w:gridSpan w:val="4"/>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施工营地</w:t>
                  </w:r>
                </w:p>
              </w:tc>
              <w:tc>
                <w:tcPr>
                  <w:tcW w:w="3720" w:type="pct"/>
                  <w:gridSpan w:val="3"/>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本项目不单独设置施工生活营地，施工人员为周边居民</w:t>
                  </w:r>
                  <w:r>
                    <w:rPr>
                      <w:rFonts w:hint="eastAsia" w:ascii="Times New Roman" w:cs="Times New Roman"/>
                      <w:color w:val="auto"/>
                      <w:sz w:val="21"/>
                      <w:szCs w:val="21"/>
                      <w:highlight w:val="none"/>
                      <w:lang w:val="en-US" w:eastAsia="zh-CN"/>
                    </w:rPr>
                    <w:t>，租用周边居民住宅。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9" w:type="pct"/>
                  <w:gridSpan w:val="3"/>
                  <w:vMerge w:val="restart"/>
                  <w:noWrap w:val="0"/>
                  <w:vAlign w:val="center"/>
                </w:tcPr>
                <w:p>
                  <w:pPr>
                    <w:pStyle w:val="45"/>
                    <w:spacing w:before="0" w:line="240" w:lineRule="auto"/>
                    <w:ind w:firstLine="0" w:firstLineChars="0"/>
                    <w:jc w:val="left"/>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公用</w:t>
                  </w:r>
                </w:p>
                <w:p>
                  <w:pPr>
                    <w:pStyle w:val="45"/>
                    <w:spacing w:before="0" w:line="240" w:lineRule="auto"/>
                    <w:ind w:firstLine="0" w:firstLineChars="0"/>
                    <w:jc w:val="left"/>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SA"/>
                    </w:rPr>
                    <w:t>工程</w:t>
                  </w:r>
                </w:p>
              </w:tc>
              <w:tc>
                <w:tcPr>
                  <w:tcW w:w="849" w:type="pct"/>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供水</w:t>
                  </w:r>
                </w:p>
              </w:tc>
              <w:tc>
                <w:tcPr>
                  <w:tcW w:w="3720" w:type="pct"/>
                  <w:gridSpan w:val="3"/>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本项目供水由市政供水。</w:t>
                  </w:r>
                </w:p>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项目用水主要为生产用水。主要包括菌棒加工用水及菌菇生产用水。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1" w:hRule="atLeast"/>
                <w:jc w:val="center"/>
              </w:trPr>
              <w:tc>
                <w:tcPr>
                  <w:tcW w:w="429" w:type="pct"/>
                  <w:gridSpan w:val="3"/>
                  <w:vMerge w:val="continue"/>
                  <w:noWrap w:val="0"/>
                  <w:vAlign w:val="center"/>
                </w:tcPr>
                <w:p>
                  <w:pPr>
                    <w:pStyle w:val="45"/>
                    <w:spacing w:before="0" w:line="240" w:lineRule="auto"/>
                    <w:ind w:firstLine="0" w:firstLineChars="0"/>
                    <w:jc w:val="left"/>
                    <w:rPr>
                      <w:rFonts w:hint="default" w:ascii="Times New Roman" w:hAnsi="Times New Roman" w:eastAsia="宋体" w:cs="Times New Roman"/>
                      <w:b/>
                      <w:bCs/>
                      <w:color w:val="auto"/>
                      <w:sz w:val="21"/>
                      <w:szCs w:val="21"/>
                      <w:highlight w:val="none"/>
                    </w:rPr>
                  </w:pPr>
                </w:p>
              </w:tc>
              <w:tc>
                <w:tcPr>
                  <w:tcW w:w="849" w:type="pct"/>
                  <w:gridSpan w:val="4"/>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排水</w:t>
                  </w:r>
                </w:p>
              </w:tc>
              <w:tc>
                <w:tcPr>
                  <w:tcW w:w="3720" w:type="pct"/>
                  <w:gridSpan w:val="3"/>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56" w:firstLineChars="200"/>
                    <w:jc w:val="both"/>
                    <w:textAlignment w:val="auto"/>
                    <w:rPr>
                      <w:rFonts w:hint="eastAsia" w:cs="Times New Roman"/>
                      <w:color w:val="auto"/>
                      <w:spacing w:val="9"/>
                      <w:sz w:val="21"/>
                      <w:szCs w:val="21"/>
                      <w:highlight w:val="none"/>
                      <w:lang w:eastAsia="zh-CN"/>
                    </w:rPr>
                  </w:pPr>
                  <w:r>
                    <w:rPr>
                      <w:rFonts w:hint="eastAsia" w:cs="Times New Roman"/>
                      <w:color w:val="auto"/>
                      <w:spacing w:val="9"/>
                      <w:sz w:val="21"/>
                      <w:szCs w:val="21"/>
                      <w:highlight w:val="none"/>
                      <w:lang w:val="en-US" w:eastAsia="zh-CN"/>
                    </w:rPr>
                    <w:t>运营期废水主要为职工生活污水，</w:t>
                  </w:r>
                  <w:r>
                    <w:rPr>
                      <w:rFonts w:hint="eastAsia" w:cs="Times New Roman"/>
                      <w:snapToGrid w:val="0"/>
                      <w:color w:val="auto"/>
                      <w:kern w:val="0"/>
                      <w:sz w:val="21"/>
                      <w:szCs w:val="21"/>
                      <w:highlight w:val="none"/>
                      <w:vertAlign w:val="baseline"/>
                      <w:lang w:val="en-US" w:eastAsia="zh-CN"/>
                    </w:rPr>
                    <w:t>利用周边居民旱厕，</w:t>
                  </w:r>
                  <w:r>
                    <w:rPr>
                      <w:rFonts w:hint="eastAsia" w:cs="Times New Roman"/>
                      <w:color w:val="auto"/>
                      <w:szCs w:val="21"/>
                      <w:highlight w:val="none"/>
                      <w:lang w:val="en-US" w:eastAsia="zh-CN"/>
                    </w:rPr>
                    <w:t>定期清掏，用于周边农田施肥。</w:t>
                  </w:r>
                  <w:r>
                    <w:rPr>
                      <w:rFonts w:hint="default" w:ascii="Times New Roman" w:hAnsi="Times New Roman" w:eastAsia="宋体" w:cs="Times New Roman"/>
                      <w:color w:val="auto"/>
                      <w:spacing w:val="9"/>
                      <w:sz w:val="21"/>
                      <w:szCs w:val="21"/>
                      <w:highlight w:val="none"/>
                    </w:rPr>
                    <w:t>少量盥洗废水用于泼洒抑尘</w:t>
                  </w:r>
                  <w:r>
                    <w:rPr>
                      <w:rFonts w:hint="eastAsia" w:cs="Times New Roman"/>
                      <w:color w:val="auto"/>
                      <w:spacing w:val="9"/>
                      <w:sz w:val="21"/>
                      <w:szCs w:val="21"/>
                      <w:highlight w:val="none"/>
                      <w:lang w:eastAsia="zh-CN"/>
                    </w:rPr>
                    <w:t>。</w:t>
                  </w:r>
                </w:p>
                <w:p>
                  <w:pPr>
                    <w:adjustRightInd w:val="0"/>
                    <w:snapToGrid w:val="0"/>
                    <w:spacing w:line="240" w:lineRule="auto"/>
                    <w:ind w:firstLine="456" w:firstLineChars="200"/>
                    <w:jc w:val="both"/>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pacing w:val="9"/>
                      <w:sz w:val="21"/>
                      <w:szCs w:val="21"/>
                      <w:highlight w:val="none"/>
                      <w:lang w:val="en-US" w:eastAsia="zh-CN"/>
                    </w:rPr>
                    <w:t>空气能热泵排水用于堆料棚洒水抑尘。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429" w:type="pct"/>
                  <w:gridSpan w:val="3"/>
                  <w:vMerge w:val="continue"/>
                  <w:noWrap w:val="0"/>
                  <w:vAlign w:val="center"/>
                </w:tcPr>
                <w:p>
                  <w:pPr>
                    <w:pStyle w:val="45"/>
                    <w:spacing w:before="0" w:line="240" w:lineRule="auto"/>
                    <w:ind w:firstLine="0" w:firstLineChars="0"/>
                    <w:jc w:val="left"/>
                    <w:rPr>
                      <w:rFonts w:hint="default" w:ascii="Times New Roman" w:hAnsi="Times New Roman" w:eastAsia="宋体" w:cs="Times New Roman"/>
                      <w:b/>
                      <w:bCs/>
                      <w:color w:val="auto"/>
                      <w:sz w:val="21"/>
                      <w:szCs w:val="21"/>
                      <w:highlight w:val="none"/>
                    </w:rPr>
                  </w:pPr>
                </w:p>
              </w:tc>
              <w:tc>
                <w:tcPr>
                  <w:tcW w:w="849" w:type="pct"/>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供电</w:t>
                  </w:r>
                </w:p>
              </w:tc>
              <w:tc>
                <w:tcPr>
                  <w:tcW w:w="3720" w:type="pct"/>
                  <w:gridSpan w:val="3"/>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就近接用附近村庄电网</w:t>
                  </w:r>
                  <w:r>
                    <w:rPr>
                      <w:rFonts w:hint="eastAsia" w:cs="Times New Roman"/>
                      <w:color w:val="auto"/>
                      <w:kern w:val="0"/>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429" w:type="pct"/>
                  <w:gridSpan w:val="3"/>
                  <w:vMerge w:val="continue"/>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highlight w:val="none"/>
                    </w:rPr>
                  </w:pPr>
                </w:p>
              </w:tc>
              <w:tc>
                <w:tcPr>
                  <w:tcW w:w="849" w:type="pct"/>
                  <w:gridSpan w:val="4"/>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供</w:t>
                  </w:r>
                  <w:r>
                    <w:rPr>
                      <w:rFonts w:hint="eastAsia" w:ascii="Times New Roman" w:cs="Times New Roman"/>
                      <w:color w:val="auto"/>
                      <w:kern w:val="2"/>
                      <w:sz w:val="21"/>
                      <w:szCs w:val="21"/>
                      <w:highlight w:val="none"/>
                      <w:lang w:val="en-US" w:eastAsia="zh-CN" w:bidi="ar-SA"/>
                    </w:rPr>
                    <w:t>热</w:t>
                  </w:r>
                </w:p>
              </w:tc>
              <w:tc>
                <w:tcPr>
                  <w:tcW w:w="3720" w:type="pct"/>
                  <w:gridSpan w:val="3"/>
                  <w:noWrap w:val="0"/>
                  <w:vAlign w:val="center"/>
                </w:tcPr>
                <w:p>
                  <w:pPr>
                    <w:pStyle w:val="70"/>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本项目供热主要采用高压灭菌锅、空气源热泵机组进行供热。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220" w:type="pct"/>
                  <w:vMerge w:val="restart"/>
                  <w:noWrap w:val="0"/>
                  <w:vAlign w:val="center"/>
                </w:tcPr>
                <w:p>
                  <w:pPr>
                    <w:pStyle w:val="45"/>
                    <w:spacing w:before="0" w:line="240" w:lineRule="auto"/>
                    <w:ind w:firstLine="0" w:firstLineChars="0"/>
                    <w:jc w:val="left"/>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环保</w:t>
                  </w:r>
                </w:p>
                <w:p>
                  <w:pPr>
                    <w:pStyle w:val="45"/>
                    <w:spacing w:before="0" w:line="240" w:lineRule="auto"/>
                    <w:ind w:firstLine="0" w:firstLineChars="0"/>
                    <w:jc w:val="left"/>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bidi="ar-SA"/>
                    </w:rPr>
                    <w:t>工程</w:t>
                  </w:r>
                </w:p>
              </w:tc>
              <w:tc>
                <w:tcPr>
                  <w:tcW w:w="209" w:type="pct"/>
                  <w:gridSpan w:val="2"/>
                  <w:vMerge w:val="restart"/>
                  <w:noWrap w:val="0"/>
                  <w:vAlign w:val="center"/>
                </w:tcPr>
                <w:p>
                  <w:pPr>
                    <w:pStyle w:val="45"/>
                    <w:spacing w:before="0" w:line="240" w:lineRule="auto"/>
                    <w:ind w:firstLine="0" w:firstLineChars="0"/>
                    <w:jc w:val="left"/>
                    <w:rPr>
                      <w:rFonts w:hint="eastAsia"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bidi="ar-SA"/>
                    </w:rPr>
                    <w:t>施工期</w:t>
                  </w:r>
                </w:p>
              </w:tc>
              <w:tc>
                <w:tcPr>
                  <w:tcW w:w="849" w:type="pct"/>
                  <w:gridSpan w:val="4"/>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废气治理措施</w:t>
                  </w:r>
                </w:p>
              </w:tc>
              <w:tc>
                <w:tcPr>
                  <w:tcW w:w="3720" w:type="pct"/>
                  <w:gridSpan w:val="3"/>
                  <w:noWrap w:val="0"/>
                  <w:vAlign w:val="center"/>
                </w:tcPr>
                <w:p>
                  <w:pPr>
                    <w:adjustRightInd w:val="0"/>
                    <w:snapToGrid w:val="0"/>
                    <w:spacing w:line="240" w:lineRule="auto"/>
                    <w:ind w:firstLine="420" w:firstLineChars="200"/>
                    <w:jc w:val="left"/>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施工场地设置施工围挡、定期洒水降尘、运输车辆加盖篷布，运输车辆在出入施工场地时，对车辆轮胎进行冲洗，避免运输扬尘</w:t>
                  </w:r>
                  <w:r>
                    <w:rPr>
                      <w:rFonts w:hint="eastAsia" w:cs="Times New Roman"/>
                      <w:color w:val="auto"/>
                      <w:sz w:val="21"/>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20"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209" w:type="pct"/>
                  <w:gridSpan w:val="2"/>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849" w:type="pct"/>
                  <w:gridSpan w:val="4"/>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3720" w:type="pct"/>
                  <w:gridSpan w:val="3"/>
                  <w:noWrap w:val="0"/>
                  <w:vAlign w:val="center"/>
                </w:tcPr>
                <w:p>
                  <w:pPr>
                    <w:adjustRightInd w:val="0"/>
                    <w:snapToGrid w:val="0"/>
                    <w:spacing w:line="240" w:lineRule="auto"/>
                    <w:ind w:firstLine="420" w:firstLineChars="200"/>
                    <w:jc w:val="left"/>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施工机械废气：加强施工机械的使用管理和保养维修，合理降低使用次数，优化机械设备</w:t>
                  </w:r>
                  <w:r>
                    <w:rPr>
                      <w:rFonts w:hint="eastAsia" w:cs="Times New Roman"/>
                      <w:bCs/>
                      <w:color w:val="auto"/>
                      <w:sz w:val="21"/>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 w:type="pct"/>
                  <w:vMerge w:val="continue"/>
                  <w:noWrap w:val="0"/>
                  <w:vAlign w:val="center"/>
                </w:tcPr>
                <w:p>
                  <w:pPr>
                    <w:pStyle w:val="45"/>
                    <w:spacing w:before="0" w:line="240" w:lineRule="auto"/>
                    <w:ind w:firstLine="0" w:firstLineChars="0"/>
                    <w:jc w:val="left"/>
                    <w:rPr>
                      <w:rFonts w:hint="default" w:ascii="Times New Roman" w:hAnsi="Times New Roman" w:eastAsia="宋体" w:cs="Times New Roman"/>
                      <w:b/>
                      <w:bCs/>
                      <w:color w:val="auto"/>
                      <w:sz w:val="21"/>
                      <w:szCs w:val="21"/>
                      <w:highlight w:val="none"/>
                    </w:rPr>
                  </w:pPr>
                </w:p>
              </w:tc>
              <w:tc>
                <w:tcPr>
                  <w:tcW w:w="209" w:type="pct"/>
                  <w:gridSpan w:val="2"/>
                  <w:vMerge w:val="continue"/>
                  <w:noWrap w:val="0"/>
                  <w:vAlign w:val="center"/>
                </w:tcPr>
                <w:p>
                  <w:pPr>
                    <w:pStyle w:val="45"/>
                    <w:spacing w:before="0" w:line="240" w:lineRule="auto"/>
                    <w:ind w:firstLine="0" w:firstLineChars="0"/>
                    <w:jc w:val="left"/>
                    <w:rPr>
                      <w:rFonts w:hint="default" w:ascii="Times New Roman" w:hAnsi="Times New Roman" w:eastAsia="宋体" w:cs="Times New Roman"/>
                      <w:b/>
                      <w:bCs/>
                      <w:color w:val="auto"/>
                      <w:sz w:val="21"/>
                      <w:szCs w:val="21"/>
                      <w:highlight w:val="none"/>
                    </w:rPr>
                  </w:pPr>
                </w:p>
              </w:tc>
              <w:tc>
                <w:tcPr>
                  <w:tcW w:w="849" w:type="pct"/>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噪声治理措施</w:t>
                  </w:r>
                </w:p>
              </w:tc>
              <w:tc>
                <w:tcPr>
                  <w:tcW w:w="3720" w:type="pct"/>
                  <w:gridSpan w:val="3"/>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56" w:firstLineChars="200"/>
                    <w:jc w:val="both"/>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9"/>
                      <w:sz w:val="21"/>
                      <w:szCs w:val="21"/>
                      <w:highlight w:val="none"/>
                    </w:rPr>
                    <w:t>合理安排施工时间，选用低噪声设备，分片</w:t>
                  </w:r>
                  <w:r>
                    <w:rPr>
                      <w:rFonts w:hint="default" w:ascii="Times New Roman" w:hAnsi="Times New Roman" w:eastAsia="宋体" w:cs="Times New Roman"/>
                      <w:color w:val="auto"/>
                      <w:spacing w:val="8"/>
                      <w:sz w:val="21"/>
                      <w:szCs w:val="21"/>
                      <w:highlight w:val="none"/>
                    </w:rPr>
                    <w:t>区施工，运输车辆减速慢行、</w:t>
                  </w:r>
                  <w:r>
                    <w:rPr>
                      <w:rFonts w:hint="default" w:ascii="Times New Roman" w:hAnsi="Times New Roman" w:eastAsia="宋体" w:cs="Times New Roman"/>
                      <w:color w:val="auto"/>
                      <w:spacing w:val="5"/>
                      <w:sz w:val="21"/>
                      <w:szCs w:val="21"/>
                      <w:highlight w:val="none"/>
                    </w:rPr>
                    <w:t>禁止鸣笛</w:t>
                  </w:r>
                  <w:r>
                    <w:rPr>
                      <w:rFonts w:hint="eastAsia" w:cs="Times New Roman"/>
                      <w:color w:val="auto"/>
                      <w:spacing w:val="5"/>
                      <w:sz w:val="21"/>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220" w:type="pct"/>
                  <w:vMerge w:val="continue"/>
                  <w:noWrap w:val="0"/>
                  <w:vAlign w:val="center"/>
                </w:tcPr>
                <w:p>
                  <w:pPr>
                    <w:pStyle w:val="45"/>
                    <w:spacing w:before="0" w:line="240" w:lineRule="auto"/>
                    <w:ind w:firstLine="0" w:firstLineChars="0"/>
                    <w:jc w:val="left"/>
                    <w:rPr>
                      <w:rFonts w:hint="default" w:ascii="Times New Roman" w:hAnsi="Times New Roman" w:eastAsia="宋体" w:cs="Times New Roman"/>
                      <w:b/>
                      <w:bCs/>
                      <w:color w:val="auto"/>
                      <w:sz w:val="21"/>
                      <w:szCs w:val="21"/>
                      <w:highlight w:val="none"/>
                      <w:lang w:val="en-US" w:eastAsia="zh-CN"/>
                    </w:rPr>
                  </w:pPr>
                </w:p>
              </w:tc>
              <w:tc>
                <w:tcPr>
                  <w:tcW w:w="209" w:type="pct"/>
                  <w:gridSpan w:val="2"/>
                  <w:vMerge w:val="continue"/>
                  <w:noWrap w:val="0"/>
                  <w:vAlign w:val="center"/>
                </w:tcPr>
                <w:p>
                  <w:pPr>
                    <w:pStyle w:val="45"/>
                    <w:spacing w:before="0" w:line="240" w:lineRule="auto"/>
                    <w:ind w:firstLine="0" w:firstLineChars="0"/>
                    <w:jc w:val="left"/>
                    <w:rPr>
                      <w:rFonts w:hint="eastAsia" w:ascii="Times New Roman" w:hAnsi="Times New Roman" w:eastAsia="宋体" w:cs="Times New Roman"/>
                      <w:b/>
                      <w:bCs/>
                      <w:color w:val="auto"/>
                      <w:sz w:val="21"/>
                      <w:szCs w:val="21"/>
                      <w:highlight w:val="none"/>
                      <w:lang w:val="en-US" w:eastAsia="zh-CN"/>
                    </w:rPr>
                  </w:pPr>
                </w:p>
              </w:tc>
              <w:tc>
                <w:tcPr>
                  <w:tcW w:w="849" w:type="pct"/>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废水治理措施</w:t>
                  </w:r>
                </w:p>
              </w:tc>
              <w:tc>
                <w:tcPr>
                  <w:tcW w:w="3720" w:type="pct"/>
                  <w:gridSpan w:val="3"/>
                  <w:noWrap w:val="0"/>
                  <w:vAlign w:val="center"/>
                </w:tcPr>
                <w:p>
                  <w:pPr>
                    <w:adjustRightInd w:val="0"/>
                    <w:snapToGrid w:val="0"/>
                    <w:spacing w:line="24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eastAsia" w:cs="Times New Roman"/>
                      <w:snapToGrid w:val="0"/>
                      <w:color w:val="auto"/>
                      <w:kern w:val="0"/>
                      <w:sz w:val="21"/>
                      <w:szCs w:val="21"/>
                      <w:highlight w:val="none"/>
                      <w:vertAlign w:val="baseline"/>
                      <w:lang w:val="en-US" w:eastAsia="zh-CN"/>
                    </w:rPr>
                    <w:t>本项目依托周边居民区，生活污水利用周边居民旱厕，</w:t>
                  </w:r>
                  <w:r>
                    <w:rPr>
                      <w:rFonts w:hint="eastAsia" w:cs="Times New Roman"/>
                      <w:color w:val="auto"/>
                      <w:szCs w:val="21"/>
                      <w:highlight w:val="none"/>
                      <w:lang w:val="en-US" w:eastAsia="zh-CN"/>
                    </w:rPr>
                    <w:t>定期清掏，用于周边农田施肥。</w:t>
                  </w:r>
                  <w:r>
                    <w:rPr>
                      <w:rFonts w:hint="default" w:ascii="Times New Roman" w:hAnsi="Times New Roman" w:eastAsia="宋体" w:cs="Times New Roman"/>
                      <w:color w:val="auto"/>
                      <w:spacing w:val="9"/>
                      <w:sz w:val="21"/>
                      <w:szCs w:val="21"/>
                      <w:highlight w:val="none"/>
                    </w:rPr>
                    <w:t>少量盥洗废水用于泼洒抑尘。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20" w:type="pct"/>
                  <w:vMerge w:val="continue"/>
                  <w:noWrap w:val="0"/>
                  <w:vAlign w:val="center"/>
                </w:tcPr>
                <w:p>
                  <w:pPr>
                    <w:pStyle w:val="45"/>
                    <w:spacing w:before="0" w:line="240" w:lineRule="auto"/>
                    <w:ind w:firstLine="0" w:firstLineChars="0"/>
                    <w:jc w:val="left"/>
                    <w:rPr>
                      <w:rFonts w:hint="default" w:ascii="Times New Roman" w:hAnsi="Times New Roman" w:eastAsia="宋体" w:cs="Times New Roman"/>
                      <w:b/>
                      <w:bCs/>
                      <w:color w:val="auto"/>
                      <w:sz w:val="21"/>
                      <w:szCs w:val="21"/>
                      <w:highlight w:val="none"/>
                    </w:rPr>
                  </w:pPr>
                </w:p>
              </w:tc>
              <w:tc>
                <w:tcPr>
                  <w:tcW w:w="209" w:type="pct"/>
                  <w:gridSpan w:val="2"/>
                  <w:vMerge w:val="continue"/>
                  <w:noWrap w:val="0"/>
                  <w:vAlign w:val="center"/>
                </w:tcPr>
                <w:p>
                  <w:pPr>
                    <w:pStyle w:val="45"/>
                    <w:spacing w:before="0" w:line="240" w:lineRule="auto"/>
                    <w:ind w:firstLine="0" w:firstLineChars="0"/>
                    <w:jc w:val="left"/>
                    <w:rPr>
                      <w:rFonts w:hint="default" w:ascii="Times New Roman" w:hAnsi="Times New Roman" w:eastAsia="宋体" w:cs="Times New Roman"/>
                      <w:b/>
                      <w:bCs/>
                      <w:color w:val="auto"/>
                      <w:sz w:val="21"/>
                      <w:szCs w:val="21"/>
                      <w:highlight w:val="none"/>
                    </w:rPr>
                  </w:pPr>
                </w:p>
              </w:tc>
              <w:tc>
                <w:tcPr>
                  <w:tcW w:w="849" w:type="pct"/>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固体废物治理措施</w:t>
                  </w:r>
                </w:p>
              </w:tc>
              <w:tc>
                <w:tcPr>
                  <w:tcW w:w="3720" w:type="pct"/>
                  <w:gridSpan w:val="3"/>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56" w:firstLineChars="200"/>
                    <w:jc w:val="both"/>
                    <w:textAlignment w:val="auto"/>
                    <w:rPr>
                      <w:rFonts w:hint="default"/>
                      <w:color w:val="auto"/>
                      <w:highlight w:val="none"/>
                      <w:lang w:val="en-US" w:eastAsia="zh-CN"/>
                    </w:rPr>
                  </w:pPr>
                  <w:r>
                    <w:rPr>
                      <w:rFonts w:hint="eastAsia" w:cs="Times New Roman"/>
                      <w:color w:val="auto"/>
                      <w:spacing w:val="9"/>
                      <w:sz w:val="21"/>
                      <w:szCs w:val="21"/>
                      <w:highlight w:val="none"/>
                      <w:lang w:val="en-US" w:eastAsia="zh-CN"/>
                    </w:rPr>
                    <w:t>生活垃圾集中收集后交由环卫部门处置。项目施工期清理的表土砂石全部运至指定地点堆放；有机肥废包装袋集中交由有机肥供给企业回收利用；废滴灌及喷头集中收集后由更换企业回收利用。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20" w:type="pct"/>
                  <w:vMerge w:val="continue"/>
                  <w:noWrap w:val="0"/>
                  <w:vAlign w:val="center"/>
                </w:tcPr>
                <w:p>
                  <w:pPr>
                    <w:pStyle w:val="45"/>
                    <w:spacing w:before="0" w:line="240" w:lineRule="auto"/>
                    <w:ind w:firstLine="0" w:firstLineChars="0"/>
                    <w:jc w:val="left"/>
                    <w:rPr>
                      <w:rFonts w:hint="default" w:ascii="Times New Roman" w:hAnsi="Times New Roman" w:eastAsia="宋体" w:cs="Times New Roman"/>
                      <w:b/>
                      <w:bCs/>
                      <w:color w:val="auto"/>
                      <w:sz w:val="21"/>
                      <w:szCs w:val="21"/>
                      <w:highlight w:val="none"/>
                    </w:rPr>
                  </w:pPr>
                </w:p>
              </w:tc>
              <w:tc>
                <w:tcPr>
                  <w:tcW w:w="209" w:type="pct"/>
                  <w:gridSpan w:val="2"/>
                  <w:vMerge w:val="continue"/>
                  <w:noWrap w:val="0"/>
                  <w:vAlign w:val="center"/>
                </w:tcPr>
                <w:p>
                  <w:pPr>
                    <w:pStyle w:val="45"/>
                    <w:spacing w:before="0" w:line="240" w:lineRule="auto"/>
                    <w:ind w:firstLine="0" w:firstLineChars="0"/>
                    <w:jc w:val="left"/>
                    <w:rPr>
                      <w:rFonts w:hint="default" w:ascii="Times New Roman" w:hAnsi="Times New Roman" w:eastAsia="宋体" w:cs="Times New Roman"/>
                      <w:b/>
                      <w:bCs/>
                      <w:color w:val="auto"/>
                      <w:sz w:val="21"/>
                      <w:szCs w:val="21"/>
                      <w:highlight w:val="none"/>
                    </w:rPr>
                  </w:pPr>
                </w:p>
              </w:tc>
              <w:tc>
                <w:tcPr>
                  <w:tcW w:w="849" w:type="pct"/>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生态环境治理措施</w:t>
                  </w:r>
                </w:p>
              </w:tc>
              <w:tc>
                <w:tcPr>
                  <w:tcW w:w="3720" w:type="pct"/>
                  <w:gridSpan w:val="3"/>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56" w:firstLineChars="200"/>
                    <w:jc w:val="both"/>
                    <w:textAlignment w:val="auto"/>
                    <w:rPr>
                      <w:rFonts w:hint="default" w:ascii="Times New Roman" w:hAnsi="Times New Roman" w:eastAsia="宋体" w:cs="Times New Roman"/>
                      <w:color w:val="auto"/>
                      <w:spacing w:val="9"/>
                      <w:sz w:val="21"/>
                      <w:szCs w:val="21"/>
                      <w:highlight w:val="none"/>
                    </w:rPr>
                  </w:pPr>
                  <w:r>
                    <w:rPr>
                      <w:rFonts w:hint="default" w:ascii="Times New Roman" w:hAnsi="Times New Roman" w:eastAsia="宋体" w:cs="Times New Roman"/>
                      <w:color w:val="auto"/>
                      <w:spacing w:val="9"/>
                      <w:sz w:val="21"/>
                      <w:szCs w:val="21"/>
                      <w:highlight w:val="none"/>
                      <w:lang w:val="en-US" w:eastAsia="zh-CN"/>
                    </w:rPr>
                    <w:t>施工期严格控制施工作业范围，控制施工机械、车辆沿固定线路行驶，做好施工人员宣传教育，严禁越过红线进入保护区，严禁随意采伐、猎捕野生动物。项目建设内容为土地整治、</w:t>
                  </w:r>
                  <w:r>
                    <w:rPr>
                      <w:rFonts w:hint="eastAsia" w:cs="Times New Roman"/>
                      <w:color w:val="auto"/>
                      <w:spacing w:val="9"/>
                      <w:sz w:val="21"/>
                      <w:szCs w:val="21"/>
                      <w:highlight w:val="none"/>
                      <w:lang w:val="en-US" w:eastAsia="zh-CN"/>
                    </w:rPr>
                    <w:t>柴胡、黄芪</w:t>
                  </w:r>
                  <w:r>
                    <w:rPr>
                      <w:rFonts w:hint="default" w:ascii="Times New Roman" w:hAnsi="Times New Roman" w:eastAsia="宋体" w:cs="Times New Roman"/>
                      <w:color w:val="auto"/>
                      <w:spacing w:val="9"/>
                      <w:sz w:val="21"/>
                      <w:szCs w:val="21"/>
                      <w:highlight w:val="none"/>
                      <w:lang w:val="en-US" w:eastAsia="zh-CN"/>
                    </w:rPr>
                    <w:t>种植及防风林建设，施工过程为场地平整，种植林草，恢复生境，项目不得引入其他有入侵性的植物种类。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220"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209" w:type="pct"/>
                  <w:gridSpan w:val="2"/>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运营期</w:t>
                  </w:r>
                </w:p>
              </w:tc>
              <w:tc>
                <w:tcPr>
                  <w:tcW w:w="849" w:type="pct"/>
                  <w:gridSpan w:val="4"/>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废气</w:t>
                  </w:r>
                </w:p>
              </w:tc>
              <w:tc>
                <w:tcPr>
                  <w:tcW w:w="3720" w:type="pct"/>
                  <w:gridSpan w:val="3"/>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56" w:firstLineChars="200"/>
                    <w:jc w:val="both"/>
                    <w:textAlignment w:val="auto"/>
                    <w:rPr>
                      <w:rFonts w:hint="default" w:ascii="Times New Roman" w:hAnsi="Times New Roman" w:eastAsia="宋体" w:cs="Times New Roman"/>
                      <w:color w:val="auto"/>
                      <w:spacing w:val="9"/>
                      <w:sz w:val="21"/>
                      <w:szCs w:val="21"/>
                      <w:highlight w:val="none"/>
                      <w:lang w:val="en-US" w:eastAsia="zh-CN"/>
                    </w:rPr>
                  </w:pPr>
                  <w:r>
                    <w:rPr>
                      <w:rFonts w:hint="eastAsia" w:cs="Times New Roman"/>
                      <w:color w:val="auto"/>
                      <w:spacing w:val="9"/>
                      <w:sz w:val="21"/>
                      <w:szCs w:val="21"/>
                      <w:highlight w:val="none"/>
                      <w:lang w:val="en-US" w:eastAsia="zh-CN"/>
                    </w:rPr>
                    <w:t>本项目运营期无废气产生。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220"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209" w:type="pct"/>
                  <w:gridSpan w:val="2"/>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bCs/>
                      <w:color w:val="auto"/>
                      <w:sz w:val="21"/>
                      <w:szCs w:val="21"/>
                      <w:highlight w:val="none"/>
                      <w:lang w:eastAsia="zh-CN"/>
                    </w:rPr>
                  </w:pPr>
                </w:p>
              </w:tc>
              <w:tc>
                <w:tcPr>
                  <w:tcW w:w="849" w:type="pct"/>
                  <w:gridSpan w:val="4"/>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废水</w:t>
                  </w:r>
                </w:p>
              </w:tc>
              <w:tc>
                <w:tcPr>
                  <w:tcW w:w="3720" w:type="pct"/>
                  <w:gridSpan w:val="3"/>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56" w:firstLineChars="200"/>
                    <w:jc w:val="both"/>
                    <w:textAlignment w:val="auto"/>
                    <w:rPr>
                      <w:rFonts w:hint="eastAsia" w:cs="Times New Roman"/>
                      <w:color w:val="auto"/>
                      <w:spacing w:val="9"/>
                      <w:sz w:val="21"/>
                      <w:szCs w:val="21"/>
                      <w:highlight w:val="none"/>
                      <w:lang w:eastAsia="zh-CN"/>
                    </w:rPr>
                  </w:pPr>
                  <w:r>
                    <w:rPr>
                      <w:rFonts w:hint="eastAsia" w:cs="Times New Roman"/>
                      <w:color w:val="auto"/>
                      <w:spacing w:val="9"/>
                      <w:sz w:val="21"/>
                      <w:szCs w:val="21"/>
                      <w:highlight w:val="none"/>
                      <w:lang w:val="en-US" w:eastAsia="zh-CN"/>
                    </w:rPr>
                    <w:t>运营期废水主要为职工生活污水，</w:t>
                  </w:r>
                  <w:r>
                    <w:rPr>
                      <w:rFonts w:hint="eastAsia" w:cs="Times New Roman"/>
                      <w:snapToGrid w:val="0"/>
                      <w:color w:val="auto"/>
                      <w:kern w:val="0"/>
                      <w:sz w:val="21"/>
                      <w:szCs w:val="21"/>
                      <w:highlight w:val="none"/>
                      <w:vertAlign w:val="baseline"/>
                      <w:lang w:val="en-US" w:eastAsia="zh-CN"/>
                    </w:rPr>
                    <w:t>利用周边居民旱厕，</w:t>
                  </w:r>
                  <w:r>
                    <w:rPr>
                      <w:rFonts w:hint="eastAsia" w:cs="Times New Roman"/>
                      <w:color w:val="auto"/>
                      <w:szCs w:val="21"/>
                      <w:highlight w:val="none"/>
                      <w:lang w:val="en-US" w:eastAsia="zh-CN"/>
                    </w:rPr>
                    <w:t>定期清掏，用于周边农田施肥。</w:t>
                  </w:r>
                  <w:r>
                    <w:rPr>
                      <w:rFonts w:hint="default" w:ascii="Times New Roman" w:hAnsi="Times New Roman" w:eastAsia="宋体" w:cs="Times New Roman"/>
                      <w:color w:val="auto"/>
                      <w:spacing w:val="9"/>
                      <w:sz w:val="21"/>
                      <w:szCs w:val="21"/>
                      <w:highlight w:val="none"/>
                    </w:rPr>
                    <w:t>少量盥洗废水用于泼洒抑尘</w:t>
                  </w:r>
                  <w:r>
                    <w:rPr>
                      <w:rFonts w:hint="eastAsia" w:cs="Times New Roman"/>
                      <w:color w:val="auto"/>
                      <w:spacing w:val="9"/>
                      <w:sz w:val="21"/>
                      <w:szCs w:val="21"/>
                      <w:highlight w:val="none"/>
                      <w:lang w:eastAsia="zh-CN"/>
                    </w:rPr>
                    <w:t>。</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456" w:firstLineChars="200"/>
                    <w:jc w:val="both"/>
                    <w:textAlignment w:val="auto"/>
                    <w:rPr>
                      <w:rFonts w:hint="default" w:cs="Times New Roman"/>
                      <w:color w:val="auto"/>
                      <w:spacing w:val="9"/>
                      <w:sz w:val="21"/>
                      <w:szCs w:val="21"/>
                      <w:highlight w:val="none"/>
                      <w:lang w:val="en-US" w:eastAsia="zh-CN"/>
                    </w:rPr>
                  </w:pPr>
                  <w:r>
                    <w:rPr>
                      <w:rFonts w:hint="eastAsia" w:cs="Times New Roman"/>
                      <w:color w:val="auto"/>
                      <w:spacing w:val="9"/>
                      <w:sz w:val="21"/>
                      <w:szCs w:val="21"/>
                      <w:highlight w:val="none"/>
                      <w:lang w:val="en-US" w:eastAsia="zh-CN"/>
                    </w:rPr>
                    <w:t>空气能热泵排水用于堆料棚洒水抑尘。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220"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209" w:type="pct"/>
                  <w:gridSpan w:val="2"/>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bCs/>
                      <w:color w:val="auto"/>
                      <w:sz w:val="21"/>
                      <w:szCs w:val="21"/>
                      <w:highlight w:val="none"/>
                      <w:lang w:eastAsia="zh-CN"/>
                    </w:rPr>
                  </w:pPr>
                </w:p>
              </w:tc>
              <w:tc>
                <w:tcPr>
                  <w:tcW w:w="849" w:type="pct"/>
                  <w:gridSpan w:val="4"/>
                  <w:shd w:val="clear" w:color="auto" w:fill="auto"/>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0"/>
                      <w:sz w:val="21"/>
                      <w:szCs w:val="21"/>
                      <w:highlight w:val="none"/>
                    </w:rPr>
                    <w:t>噪声</w:t>
                  </w:r>
                </w:p>
              </w:tc>
              <w:tc>
                <w:tcPr>
                  <w:tcW w:w="3720" w:type="pct"/>
                  <w:gridSpan w:val="3"/>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56" w:firstLineChars="200"/>
                    <w:jc w:val="both"/>
                    <w:textAlignment w:val="auto"/>
                    <w:rPr>
                      <w:rFonts w:hint="default" w:ascii="Times New Roman" w:hAnsi="Times New Roman" w:eastAsia="宋体" w:cs="Times New Roman"/>
                      <w:color w:val="auto"/>
                      <w:spacing w:val="9"/>
                      <w:kern w:val="2"/>
                      <w:sz w:val="21"/>
                      <w:szCs w:val="21"/>
                      <w:highlight w:val="none"/>
                      <w:lang w:val="en-US" w:eastAsia="zh-CN" w:bidi="ar-SA"/>
                    </w:rPr>
                  </w:pPr>
                  <w:r>
                    <w:rPr>
                      <w:rFonts w:hint="default" w:ascii="Times New Roman" w:hAnsi="Times New Roman" w:eastAsia="宋体" w:cs="Times New Roman"/>
                      <w:color w:val="auto"/>
                      <w:spacing w:val="9"/>
                      <w:sz w:val="21"/>
                      <w:szCs w:val="21"/>
                      <w:highlight w:val="none"/>
                    </w:rPr>
                    <w:t>选用低噪设备，采取减振、隔声等措施</w:t>
                  </w:r>
                  <w:r>
                    <w:rPr>
                      <w:rFonts w:hint="eastAsia" w:ascii="Times New Roman" w:hAnsi="Times New Roman" w:eastAsia="宋体" w:cs="Times New Roman"/>
                      <w:color w:val="auto"/>
                      <w:spacing w:val="9"/>
                      <w:sz w:val="21"/>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220"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209" w:type="pct"/>
                  <w:gridSpan w:val="2"/>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bCs/>
                      <w:color w:val="auto"/>
                      <w:sz w:val="21"/>
                      <w:szCs w:val="21"/>
                      <w:highlight w:val="none"/>
                      <w:lang w:eastAsia="zh-CN"/>
                    </w:rPr>
                  </w:pPr>
                </w:p>
              </w:tc>
              <w:tc>
                <w:tcPr>
                  <w:tcW w:w="849" w:type="pct"/>
                  <w:gridSpan w:val="4"/>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固体废物</w:t>
                  </w:r>
                </w:p>
              </w:tc>
              <w:tc>
                <w:tcPr>
                  <w:tcW w:w="3720" w:type="pct"/>
                  <w:gridSpan w:val="3"/>
                  <w:noWrap w:val="0"/>
                  <w:vAlign w:val="center"/>
                </w:tcPr>
                <w:p>
                  <w:pPr>
                    <w:keepNext w:val="0"/>
                    <w:keepLines w:val="0"/>
                    <w:widowControl/>
                    <w:suppressLineNumbers w:val="0"/>
                    <w:jc w:val="left"/>
                    <w:rPr>
                      <w:rFonts w:hint="default" w:ascii="Times New Roman" w:hAnsi="Times New Roman" w:eastAsia="宋体" w:cs="Times New Roman"/>
                      <w:color w:val="auto"/>
                      <w:spacing w:val="9"/>
                      <w:sz w:val="21"/>
                      <w:szCs w:val="21"/>
                      <w:highlight w:val="none"/>
                      <w:lang w:val="en-US"/>
                    </w:rPr>
                  </w:pPr>
                  <w:r>
                    <w:rPr>
                      <w:rFonts w:hint="default" w:ascii="Times New Roman" w:hAnsi="Times New Roman" w:eastAsia="宋体" w:cs="Times New Roman"/>
                      <w:color w:val="auto"/>
                      <w:spacing w:val="9"/>
                      <w:sz w:val="21"/>
                      <w:szCs w:val="21"/>
                      <w:highlight w:val="none"/>
                      <w:lang w:val="en-US" w:eastAsia="zh-CN"/>
                    </w:rPr>
                    <w:t>一般固废主要为生活垃圾</w:t>
                  </w:r>
                  <w:r>
                    <w:rPr>
                      <w:rFonts w:hint="eastAsia" w:cs="Times New Roman"/>
                      <w:color w:val="auto"/>
                      <w:spacing w:val="9"/>
                      <w:sz w:val="21"/>
                      <w:szCs w:val="21"/>
                      <w:highlight w:val="none"/>
                      <w:lang w:val="en-US" w:eastAsia="zh-CN"/>
                    </w:rPr>
                    <w:t>、废包装材料、废弃菌棒</w:t>
                  </w:r>
                  <w:r>
                    <w:rPr>
                      <w:rFonts w:hint="default" w:ascii="Times New Roman" w:hAnsi="Times New Roman" w:eastAsia="宋体" w:cs="Times New Roman"/>
                      <w:color w:val="auto"/>
                      <w:spacing w:val="9"/>
                      <w:sz w:val="21"/>
                      <w:szCs w:val="21"/>
                      <w:highlight w:val="none"/>
                      <w:lang w:val="en-US" w:eastAsia="zh-CN"/>
                    </w:rPr>
                    <w:t>；</w:t>
                  </w:r>
                  <w:r>
                    <w:rPr>
                      <w:rFonts w:hint="eastAsia" w:cs="Times New Roman"/>
                      <w:color w:val="auto"/>
                      <w:spacing w:val="9"/>
                      <w:sz w:val="21"/>
                      <w:szCs w:val="21"/>
                      <w:highlight w:val="none"/>
                      <w:lang w:val="en-US" w:eastAsia="zh-CN"/>
                    </w:rPr>
                    <w:t>生活垃圾集中收集后交由环卫部门进行处置；废包装材料集中收集后外售处置。废弃菌棒外售综合利用。</w:t>
                  </w:r>
                </w:p>
              </w:tc>
            </w:tr>
          </w:tbl>
          <w:p>
            <w:pPr>
              <w:pStyle w:val="15"/>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textAlignment w:val="auto"/>
              <w:rPr>
                <w:rFonts w:hint="eastAsia" w:eastAsia="仿宋_GB2312" w:cs="Times New Roman"/>
                <w:b/>
                <w:bCs w:val="0"/>
                <w:color w:val="auto"/>
                <w:sz w:val="24"/>
                <w:szCs w:val="24"/>
                <w:highlight w:val="none"/>
                <w:vertAlign w:val="baseline"/>
                <w:lang w:val="en-US" w:eastAsia="zh-CN"/>
              </w:rPr>
            </w:pPr>
            <w:r>
              <w:rPr>
                <w:rFonts w:hint="eastAsia" w:eastAsia="仿宋_GB2312" w:cs="Times New Roman"/>
                <w:b/>
                <w:bCs w:val="0"/>
                <w:color w:val="auto"/>
                <w:sz w:val="24"/>
                <w:szCs w:val="24"/>
                <w:highlight w:val="none"/>
                <w:vertAlign w:val="baseline"/>
                <w:lang w:val="en-US" w:eastAsia="zh-CN"/>
              </w:rPr>
              <w:t>3、公用工程</w:t>
            </w:r>
          </w:p>
          <w:p>
            <w:pPr>
              <w:pStyle w:val="115"/>
              <w:spacing w:line="360" w:lineRule="auto"/>
              <w:rPr>
                <w:rFonts w:hint="default" w:ascii="Times New Roman" w:hAnsi="Times New Roman" w:eastAsia="仿宋_GB2312" w:cs="Times New Roman"/>
                <w:color w:val="auto"/>
                <w:highlight w:val="none"/>
              </w:rPr>
            </w:pPr>
            <w:r>
              <w:rPr>
                <w:rFonts w:hint="default" w:ascii="Times New Roman" w:hAnsi="Times New Roman" w:eastAsia="仿宋_GB2312" w:cs="Times New Roman"/>
                <w:color w:val="auto"/>
                <w:highlight w:val="none"/>
              </w:rPr>
              <w:t>供水：</w:t>
            </w:r>
            <w:r>
              <w:rPr>
                <w:rFonts w:hint="default" w:ascii="Times New Roman" w:hAnsi="Times New Roman" w:eastAsia="仿宋_GB2312" w:cs="Times New Roman"/>
                <w:color w:val="auto"/>
                <w:highlight w:val="none"/>
                <w:lang w:val="en-US" w:eastAsia="zh-CN"/>
              </w:rPr>
              <w:t>本项目用水</w:t>
            </w:r>
            <w:r>
              <w:rPr>
                <w:rFonts w:hint="eastAsia" w:ascii="Times New Roman" w:hAnsi="Times New Roman" w:eastAsia="仿宋_GB2312" w:cs="Times New Roman"/>
                <w:color w:val="auto"/>
                <w:highlight w:val="none"/>
                <w:lang w:val="en-US" w:eastAsia="zh-CN"/>
              </w:rPr>
              <w:t>主要包括生活用水、菌菇养护用水、空气能热泵用水</w:t>
            </w:r>
            <w:r>
              <w:rPr>
                <w:rFonts w:hint="default" w:ascii="Times New Roman" w:hAnsi="Times New Roman" w:eastAsia="仿宋_GB2312" w:cs="Times New Roman"/>
                <w:color w:val="auto"/>
                <w:highlight w:val="none"/>
                <w:lang w:val="en-US" w:eastAsia="zh-CN"/>
              </w:rPr>
              <w:t>，</w:t>
            </w:r>
            <w:r>
              <w:rPr>
                <w:rFonts w:hint="eastAsia" w:ascii="Times New Roman" w:hAnsi="Times New Roman" w:eastAsia="仿宋_GB2312" w:cs="Times New Roman"/>
                <w:color w:val="auto"/>
                <w:highlight w:val="none"/>
                <w:lang w:val="en-US" w:eastAsia="zh-CN"/>
              </w:rPr>
              <w:t>由市政供水管网提供。</w:t>
            </w:r>
            <w:r>
              <w:rPr>
                <w:rFonts w:hint="default" w:ascii="Times New Roman" w:hAnsi="Times New Roman" w:eastAsia="仿宋_GB2312" w:cs="Times New Roman"/>
                <w:color w:val="auto"/>
                <w:highlight w:val="none"/>
                <w:lang w:val="en-US" w:eastAsia="zh-CN"/>
              </w:rPr>
              <w:t>具体计算如下：</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1" w:firstLineChars="200"/>
              <w:jc w:val="both"/>
              <w:textAlignment w:val="auto"/>
              <w:rPr>
                <w:rFonts w:hint="eastAsia" w:ascii="Times New Roman" w:hAnsi="Times New Roman" w:eastAsia="仿宋_GB2312" w:cs="Times New Roman"/>
                <w:bCs/>
                <w:color w:val="auto"/>
                <w:kern w:val="0"/>
                <w:sz w:val="24"/>
                <w:szCs w:val="18"/>
                <w:highlight w:val="none"/>
                <w:lang w:val="en-US" w:eastAsia="zh-CN" w:bidi="ar-SA"/>
              </w:rPr>
            </w:pPr>
            <w:r>
              <w:rPr>
                <w:rFonts w:hint="default" w:ascii="Times New Roman" w:hAnsi="Times New Roman" w:eastAsia="仿宋_GB2312" w:cs="Times New Roman"/>
                <w:b/>
                <w:bCs w:val="0"/>
                <w:color w:val="auto"/>
                <w:kern w:val="0"/>
                <w:sz w:val="24"/>
                <w:szCs w:val="18"/>
                <w:highlight w:val="none"/>
                <w:lang w:val="en-US" w:eastAsia="zh-CN" w:bidi="ar-SA"/>
              </w:rPr>
              <w:fldChar w:fldCharType="begin"/>
            </w:r>
            <w:r>
              <w:rPr>
                <w:rFonts w:hint="default" w:ascii="Times New Roman" w:hAnsi="Times New Roman" w:eastAsia="仿宋_GB2312" w:cs="Times New Roman"/>
                <w:b/>
                <w:bCs w:val="0"/>
                <w:color w:val="auto"/>
                <w:kern w:val="0"/>
                <w:sz w:val="24"/>
                <w:szCs w:val="18"/>
                <w:highlight w:val="none"/>
                <w:lang w:val="en-US" w:eastAsia="zh-CN" w:bidi="ar-SA"/>
              </w:rPr>
              <w:instrText xml:space="preserve"> = 1 \* GB2 \* MERGEFORMAT </w:instrText>
            </w:r>
            <w:r>
              <w:rPr>
                <w:rFonts w:hint="default" w:ascii="Times New Roman" w:hAnsi="Times New Roman" w:eastAsia="仿宋_GB2312" w:cs="Times New Roman"/>
                <w:b/>
                <w:bCs w:val="0"/>
                <w:color w:val="auto"/>
                <w:kern w:val="0"/>
                <w:sz w:val="24"/>
                <w:szCs w:val="18"/>
                <w:highlight w:val="none"/>
                <w:lang w:val="en-US" w:eastAsia="zh-CN" w:bidi="ar-SA"/>
              </w:rPr>
              <w:fldChar w:fldCharType="separate"/>
            </w:r>
            <w:r>
              <w:rPr>
                <w:rFonts w:hint="default" w:ascii="Times New Roman" w:hAnsi="Times New Roman" w:eastAsia="仿宋_GB2312" w:cs="Times New Roman"/>
                <w:b/>
                <w:bCs w:val="0"/>
                <w:color w:val="auto"/>
                <w:kern w:val="0"/>
                <w:sz w:val="24"/>
                <w:szCs w:val="18"/>
                <w:highlight w:val="none"/>
                <w:lang w:val="en-US" w:eastAsia="zh-CN" w:bidi="ar-SA"/>
              </w:rPr>
              <w:t>⑴</w:t>
            </w:r>
            <w:r>
              <w:rPr>
                <w:rFonts w:hint="default" w:ascii="Times New Roman" w:hAnsi="Times New Roman" w:eastAsia="仿宋_GB2312" w:cs="Times New Roman"/>
                <w:b/>
                <w:bCs w:val="0"/>
                <w:color w:val="auto"/>
                <w:kern w:val="0"/>
                <w:sz w:val="24"/>
                <w:szCs w:val="18"/>
                <w:highlight w:val="none"/>
                <w:lang w:val="en-US" w:eastAsia="zh-CN" w:bidi="ar-SA"/>
              </w:rPr>
              <w:fldChar w:fldCharType="end"/>
            </w:r>
            <w:r>
              <w:rPr>
                <w:rFonts w:hint="eastAsia" w:ascii="Times New Roman" w:hAnsi="Times New Roman" w:eastAsia="仿宋_GB2312" w:cs="Times New Roman"/>
                <w:b/>
                <w:bCs w:val="0"/>
                <w:color w:val="auto"/>
                <w:kern w:val="0"/>
                <w:sz w:val="24"/>
                <w:szCs w:val="18"/>
                <w:highlight w:val="none"/>
                <w:lang w:val="en-US" w:eastAsia="zh-CN" w:bidi="ar-SA"/>
              </w:rPr>
              <w:t>生活用水：</w:t>
            </w:r>
            <w:r>
              <w:rPr>
                <w:rFonts w:hint="default" w:ascii="Times New Roman" w:hAnsi="Times New Roman" w:eastAsia="仿宋_GB2312" w:cs="Times New Roman"/>
                <w:bCs/>
                <w:color w:val="auto"/>
                <w:kern w:val="0"/>
                <w:sz w:val="24"/>
                <w:szCs w:val="18"/>
                <w:highlight w:val="none"/>
                <w:lang w:val="en-US" w:eastAsia="zh-CN" w:bidi="ar-SA"/>
              </w:rPr>
              <w:t>本项目运</w:t>
            </w:r>
            <w:r>
              <w:rPr>
                <w:rFonts w:hint="eastAsia" w:ascii="Times New Roman" w:hAnsi="Times New Roman" w:eastAsia="仿宋_GB2312" w:cs="Times New Roman"/>
                <w:bCs/>
                <w:color w:val="auto"/>
                <w:kern w:val="0"/>
                <w:sz w:val="24"/>
                <w:szCs w:val="18"/>
                <w:highlight w:val="none"/>
                <w:lang w:val="en-US" w:eastAsia="zh-CN" w:bidi="ar-SA"/>
              </w:rPr>
              <w:t>营期工作时间为</w:t>
            </w:r>
            <w:r>
              <w:rPr>
                <w:rFonts w:hint="eastAsia" w:eastAsia="仿宋_GB2312" w:cs="Times New Roman"/>
                <w:bCs/>
                <w:color w:val="auto"/>
                <w:kern w:val="0"/>
                <w:sz w:val="24"/>
                <w:szCs w:val="18"/>
                <w:highlight w:val="none"/>
                <w:lang w:val="en-US" w:eastAsia="zh-CN" w:bidi="ar-SA"/>
              </w:rPr>
              <w:t>8</w:t>
            </w:r>
            <w:r>
              <w:rPr>
                <w:rFonts w:hint="eastAsia" w:ascii="Times New Roman" w:hAnsi="Times New Roman" w:eastAsia="仿宋_GB2312" w:cs="Times New Roman"/>
                <w:bCs/>
                <w:color w:val="auto"/>
                <w:kern w:val="0"/>
                <w:sz w:val="24"/>
                <w:szCs w:val="18"/>
                <w:highlight w:val="none"/>
                <w:lang w:val="en-US" w:eastAsia="zh-CN" w:bidi="ar-SA"/>
              </w:rPr>
              <w:t>h，年工作时间约为330d，项目劳动定员100人，根据《自治区人民政府办公厅关于印发宁夏回族自治区有关行业用水定额(修订)的通知》(宁政办规发(2020)20号)中“机关、企事业单位25m</w:t>
            </w:r>
            <w:r>
              <w:rPr>
                <w:rFonts w:hint="eastAsia" w:ascii="Times New Roman" w:hAnsi="Times New Roman" w:eastAsia="仿宋_GB2312" w:cs="Times New Roman"/>
                <w:bCs/>
                <w:color w:val="auto"/>
                <w:kern w:val="0"/>
                <w:sz w:val="24"/>
                <w:szCs w:val="18"/>
                <w:highlight w:val="none"/>
                <w:vertAlign w:val="superscript"/>
                <w:lang w:val="en-US" w:eastAsia="zh-CN" w:bidi="ar-SA"/>
              </w:rPr>
              <w:t>3</w:t>
            </w:r>
            <w:r>
              <w:rPr>
                <w:rFonts w:hint="eastAsia" w:ascii="Times New Roman" w:hAnsi="Times New Roman" w:eastAsia="仿宋_GB2312" w:cs="Times New Roman"/>
                <w:bCs/>
                <w:color w:val="auto"/>
                <w:kern w:val="0"/>
                <w:sz w:val="24"/>
                <w:szCs w:val="18"/>
                <w:highlight w:val="none"/>
                <w:lang w:val="en-US" w:eastAsia="zh-CN" w:bidi="ar-SA"/>
              </w:rPr>
              <w:t>/(人·a)”，则生活用水量7.58m</w:t>
            </w:r>
            <w:r>
              <w:rPr>
                <w:rFonts w:hint="eastAsia" w:ascii="Times New Roman" w:hAnsi="Times New Roman" w:eastAsia="仿宋_GB2312" w:cs="Times New Roman"/>
                <w:bCs/>
                <w:color w:val="auto"/>
                <w:kern w:val="0"/>
                <w:sz w:val="24"/>
                <w:szCs w:val="18"/>
                <w:highlight w:val="none"/>
                <w:vertAlign w:val="superscript"/>
                <w:lang w:val="en-US" w:eastAsia="zh-CN" w:bidi="ar-SA"/>
              </w:rPr>
              <w:t>3</w:t>
            </w:r>
            <w:r>
              <w:rPr>
                <w:rFonts w:hint="eastAsia" w:ascii="Times New Roman" w:hAnsi="Times New Roman" w:eastAsia="仿宋_GB2312" w:cs="Times New Roman"/>
                <w:bCs/>
                <w:color w:val="auto"/>
                <w:kern w:val="0"/>
                <w:sz w:val="24"/>
                <w:szCs w:val="18"/>
                <w:highlight w:val="none"/>
                <w:lang w:val="en-US" w:eastAsia="zh-CN" w:bidi="ar-SA"/>
              </w:rPr>
              <w:t>/d（2500m</w:t>
            </w:r>
            <w:r>
              <w:rPr>
                <w:rFonts w:hint="eastAsia" w:ascii="Times New Roman" w:hAnsi="Times New Roman" w:eastAsia="仿宋_GB2312" w:cs="Times New Roman"/>
                <w:bCs/>
                <w:color w:val="auto"/>
                <w:kern w:val="0"/>
                <w:sz w:val="24"/>
                <w:szCs w:val="18"/>
                <w:highlight w:val="none"/>
                <w:vertAlign w:val="superscript"/>
                <w:lang w:val="en-US" w:eastAsia="zh-CN" w:bidi="ar-SA"/>
              </w:rPr>
              <w:t>3</w:t>
            </w:r>
            <w:r>
              <w:rPr>
                <w:rFonts w:hint="eastAsia" w:ascii="Times New Roman" w:hAnsi="Times New Roman" w:eastAsia="仿宋_GB2312" w:cs="Times New Roman"/>
                <w:bCs/>
                <w:color w:val="auto"/>
                <w:kern w:val="0"/>
                <w:sz w:val="24"/>
                <w:szCs w:val="18"/>
                <w:highlight w:val="none"/>
                <w:lang w:val="en-US" w:eastAsia="zh-CN" w:bidi="ar-SA"/>
              </w:rPr>
              <w:t>/a）。</w:t>
            </w:r>
          </w:p>
          <w:p>
            <w:pPr>
              <w:pStyle w:val="115"/>
              <w:spacing w:line="360" w:lineRule="auto"/>
              <w:jc w:val="both"/>
              <w:rPr>
                <w:rFonts w:hint="eastAsia" w:ascii="Times New Roman" w:hAnsi="Times New Roman" w:eastAsia="仿宋_GB2312" w:cs="Times New Roman"/>
                <w:color w:val="auto"/>
                <w:highlight w:val="none"/>
                <w:lang w:val="en-US" w:eastAsia="zh-CN"/>
              </w:rPr>
            </w:pPr>
            <w:r>
              <w:rPr>
                <w:rFonts w:hint="eastAsia" w:ascii="Times New Roman" w:hAnsi="Times New Roman" w:eastAsia="仿宋_GB2312" w:cs="Times New Roman"/>
                <w:b/>
                <w:bCs/>
                <w:color w:val="auto"/>
                <w:highlight w:val="none"/>
                <w:lang w:val="en-US" w:eastAsia="zh-CN"/>
              </w:rPr>
              <w:t>(</w:t>
            </w:r>
            <w:r>
              <w:rPr>
                <w:rFonts w:hint="default" w:ascii="Times New Roman" w:hAnsi="Times New Roman" w:eastAsia="仿宋_GB2312" w:cs="Times New Roman"/>
                <w:b/>
                <w:bCs/>
                <w:color w:val="auto"/>
                <w:highlight w:val="none"/>
                <w:lang w:val="en-US" w:eastAsia="zh-CN"/>
              </w:rPr>
              <w:t>2</w:t>
            </w:r>
            <w:r>
              <w:rPr>
                <w:rFonts w:hint="eastAsia" w:ascii="Times New Roman" w:hAnsi="Times New Roman" w:eastAsia="仿宋_GB2312" w:cs="Times New Roman"/>
                <w:b/>
                <w:bCs/>
                <w:color w:val="auto"/>
                <w:highlight w:val="none"/>
                <w:lang w:val="en-US" w:eastAsia="zh-CN"/>
              </w:rPr>
              <w:t>)菌菇养护用水</w:t>
            </w:r>
            <w:r>
              <w:rPr>
                <w:rFonts w:hint="eastAsia" w:ascii="Times New Roman" w:hAnsi="Times New Roman" w:eastAsia="仿宋_GB2312" w:cs="Times New Roman"/>
                <w:color w:val="auto"/>
                <w:highlight w:val="none"/>
                <w:lang w:val="en-US" w:eastAsia="zh-CN"/>
              </w:rPr>
              <w:t>：根据企业提供资料，菌菇养护用水为15m³/万棒，泾河源镇车间日生产能力3.5万棒，日均生产用水量=3.5万棒×15m³/万棒=52.5m³/d。菇房全年工作运行天数以330天计，项目育菇用水量为17325m</w:t>
            </w:r>
            <w:r>
              <w:rPr>
                <w:rFonts w:hint="eastAsia" w:ascii="Times New Roman" w:hAnsi="Times New Roman" w:eastAsia="仿宋_GB2312" w:cs="Times New Roman"/>
                <w:color w:val="auto"/>
                <w:highlight w:val="none"/>
                <w:vertAlign w:val="superscript"/>
                <w:lang w:val="en-US" w:eastAsia="zh-CN"/>
              </w:rPr>
              <w:t>3</w:t>
            </w:r>
            <w:r>
              <w:rPr>
                <w:rFonts w:hint="eastAsia" w:ascii="Times New Roman" w:hAnsi="Times New Roman" w:eastAsia="仿宋_GB2312" w:cs="Times New Roman"/>
                <w:color w:val="auto"/>
                <w:highlight w:val="none"/>
                <w:lang w:val="en-US" w:eastAsia="zh-CN"/>
              </w:rPr>
              <w:t>/a。育菇喷洒水绝大部分被培养基料吸收，少部分蒸发至空气中起到调节菇房湿度的作用，无废水产生。</w:t>
            </w:r>
          </w:p>
          <w:p>
            <w:pPr>
              <w:pStyle w:val="115"/>
              <w:spacing w:line="360" w:lineRule="auto"/>
              <w:jc w:val="both"/>
              <w:rPr>
                <w:rFonts w:hint="eastAsia" w:ascii="Times New Roman" w:hAnsi="Times New Roman" w:eastAsia="仿宋_GB2312" w:cs="Times New Roman"/>
                <w:color w:val="auto"/>
                <w:highlight w:val="none"/>
                <w:lang w:val="en-US" w:eastAsia="zh-CN"/>
              </w:rPr>
            </w:pPr>
            <w:r>
              <w:rPr>
                <w:rFonts w:hint="eastAsia" w:ascii="Times New Roman" w:hAnsi="Times New Roman" w:eastAsia="仿宋_GB2312" w:cs="Times New Roman"/>
                <w:b/>
                <w:bCs/>
                <w:color w:val="auto"/>
                <w:highlight w:val="none"/>
                <w:lang w:val="en-US" w:eastAsia="zh-CN"/>
              </w:rPr>
              <w:t>(3)空气能热泵用水：</w:t>
            </w:r>
          </w:p>
          <w:p>
            <w:pPr>
              <w:pStyle w:val="115"/>
              <w:spacing w:line="360" w:lineRule="auto"/>
              <w:jc w:val="both"/>
              <w:rPr>
                <w:rFonts w:hint="eastAsia" w:ascii="Times New Roman" w:hAnsi="Times New Roman" w:eastAsia="仿宋_GB2312" w:cs="Times New Roman"/>
                <w:color w:val="auto"/>
                <w:highlight w:val="none"/>
                <w:lang w:val="en-US" w:eastAsia="zh-CN"/>
              </w:rPr>
            </w:pPr>
            <w:r>
              <w:rPr>
                <w:rFonts w:hint="eastAsia" w:eastAsia="仿宋_GB2312" w:cs="Times New Roman"/>
                <w:color w:val="auto"/>
                <w:kern w:val="2"/>
                <w:sz w:val="24"/>
                <w:szCs w:val="24"/>
                <w:lang w:val="en-US" w:eastAsia="zh-CN"/>
              </w:rPr>
              <w:t>空气能热泵采用自来水，</w:t>
            </w:r>
            <w:r>
              <w:rPr>
                <w:rFonts w:hint="eastAsia" w:ascii="Times New Roman" w:hAnsi="Times New Roman" w:eastAsia="仿宋_GB2312" w:cs="Times New Roman"/>
                <w:color w:val="auto"/>
                <w:highlight w:val="none"/>
                <w:lang w:val="en-US" w:eastAsia="zh-CN"/>
              </w:rPr>
              <w:t>空气能用水量为20.7m</w:t>
            </w:r>
            <w:r>
              <w:rPr>
                <w:rFonts w:hint="eastAsia" w:ascii="Times New Roman" w:hAnsi="Times New Roman" w:eastAsia="仿宋_GB2312" w:cs="Times New Roman"/>
                <w:color w:val="auto"/>
                <w:highlight w:val="none"/>
                <w:vertAlign w:val="superscript"/>
                <w:lang w:val="en-US" w:eastAsia="zh-CN"/>
              </w:rPr>
              <w:t>3</w:t>
            </w:r>
            <w:r>
              <w:rPr>
                <w:rFonts w:hint="eastAsia" w:ascii="Times New Roman" w:hAnsi="Times New Roman" w:eastAsia="仿宋_GB2312" w:cs="Times New Roman"/>
                <w:color w:val="auto"/>
                <w:highlight w:val="none"/>
                <w:lang w:val="en-US" w:eastAsia="zh-CN"/>
              </w:rPr>
              <w:t>/d(7569m</w:t>
            </w:r>
            <w:r>
              <w:rPr>
                <w:rFonts w:hint="eastAsia" w:ascii="Times New Roman" w:hAnsi="Times New Roman" w:eastAsia="仿宋_GB2312" w:cs="Times New Roman"/>
                <w:color w:val="auto"/>
                <w:highlight w:val="none"/>
                <w:vertAlign w:val="superscript"/>
                <w:lang w:val="en-US" w:eastAsia="zh-CN"/>
              </w:rPr>
              <w:t>3</w:t>
            </w:r>
            <w:r>
              <w:rPr>
                <w:rFonts w:hint="eastAsia" w:ascii="Times New Roman" w:hAnsi="Times New Roman" w:eastAsia="仿宋_GB2312" w:cs="Times New Roman"/>
                <w:color w:val="auto"/>
                <w:highlight w:val="none"/>
                <w:lang w:val="en-US" w:eastAsia="zh-CN"/>
              </w:rPr>
              <w:t>/a)。</w:t>
            </w:r>
          </w:p>
          <w:p>
            <w:pPr>
              <w:pStyle w:val="115"/>
              <w:spacing w:line="360" w:lineRule="auto"/>
              <w:rPr>
                <w:rFonts w:hint="default" w:ascii="Times New Roman" w:hAnsi="Times New Roman" w:eastAsia="仿宋_GB2312" w:cs="Times New Roman"/>
                <w:b/>
                <w:bCs/>
                <w:color w:val="auto"/>
                <w:highlight w:val="none"/>
              </w:rPr>
            </w:pPr>
            <w:r>
              <w:rPr>
                <w:rFonts w:hint="default" w:ascii="Times New Roman" w:hAnsi="Times New Roman" w:eastAsia="仿宋_GB2312" w:cs="Times New Roman"/>
                <w:b/>
                <w:bCs/>
                <w:color w:val="auto"/>
                <w:highlight w:val="none"/>
              </w:rPr>
              <w:t>排水：</w:t>
            </w:r>
          </w:p>
          <w:p>
            <w:pPr>
              <w:pStyle w:val="115"/>
              <w:spacing w:line="360" w:lineRule="auto"/>
              <w:rPr>
                <w:rFonts w:hint="default" w:ascii="Times New Roman" w:hAnsi="Times New Roman" w:eastAsia="仿宋_GB2312" w:cs="Times New Roman"/>
                <w:color w:val="auto"/>
                <w:highlight w:val="none"/>
                <w:lang w:val="en-US" w:eastAsia="zh-CN"/>
              </w:rPr>
            </w:pPr>
            <w:r>
              <w:rPr>
                <w:rFonts w:hint="eastAsia" w:ascii="Times New Roman" w:hAnsi="Times New Roman" w:eastAsia="仿宋_GB2312" w:cs="Times New Roman"/>
                <w:color w:val="auto"/>
                <w:highlight w:val="none"/>
                <w:lang w:val="en-US" w:eastAsia="zh-CN"/>
              </w:rPr>
              <w:t>本项目废水主要为生活污水、空气能热泵排水。</w:t>
            </w:r>
          </w:p>
          <w:p>
            <w:pPr>
              <w:pStyle w:val="115"/>
              <w:spacing w:line="360" w:lineRule="auto"/>
              <w:rPr>
                <w:rFonts w:hint="eastAsia" w:ascii="Times New Roman" w:hAnsi="Times New Roman" w:eastAsia="仿宋_GB2312" w:cs="Times New Roman"/>
                <w:color w:val="auto"/>
                <w:highlight w:val="none"/>
                <w:lang w:val="en-US" w:eastAsia="zh-CN"/>
              </w:rPr>
            </w:pPr>
            <w:r>
              <w:rPr>
                <w:rFonts w:hint="default" w:ascii="Times New Roman" w:hAnsi="Times New Roman" w:eastAsia="仿宋_GB2312" w:cs="Times New Roman"/>
                <w:color w:val="auto"/>
                <w:highlight w:val="none"/>
                <w:lang w:val="en-US" w:eastAsia="zh-CN"/>
              </w:rPr>
              <w:t>生活污水产生量按80%计，产生量为</w:t>
            </w:r>
            <w:r>
              <w:rPr>
                <w:rFonts w:hint="eastAsia" w:ascii="Times New Roman" w:hAnsi="Times New Roman" w:eastAsia="仿宋_GB2312" w:cs="Times New Roman"/>
                <w:color w:val="auto"/>
                <w:highlight w:val="none"/>
                <w:lang w:val="en-US" w:eastAsia="zh-CN"/>
              </w:rPr>
              <w:t>2000</w:t>
            </w:r>
            <w:r>
              <w:rPr>
                <w:rFonts w:hint="default" w:ascii="Times New Roman" w:hAnsi="Times New Roman" w:eastAsia="仿宋_GB2312" w:cs="Times New Roman"/>
                <w:color w:val="auto"/>
                <w:highlight w:val="none"/>
                <w:lang w:val="en-US" w:eastAsia="zh-CN"/>
              </w:rPr>
              <w:t>m</w:t>
            </w:r>
            <w:r>
              <w:rPr>
                <w:rFonts w:hint="default" w:ascii="Times New Roman" w:hAnsi="Times New Roman" w:eastAsia="仿宋_GB2312" w:cs="Times New Roman"/>
                <w:color w:val="auto"/>
                <w:highlight w:val="none"/>
                <w:vertAlign w:val="superscript"/>
                <w:lang w:val="en-US" w:eastAsia="zh-CN"/>
              </w:rPr>
              <w:t>3</w:t>
            </w:r>
            <w:r>
              <w:rPr>
                <w:rFonts w:hint="default" w:ascii="Times New Roman" w:hAnsi="Times New Roman" w:eastAsia="仿宋_GB2312" w:cs="Times New Roman"/>
                <w:color w:val="auto"/>
                <w:highlight w:val="none"/>
                <w:lang w:val="en-US" w:eastAsia="zh-CN"/>
              </w:rPr>
              <w:t>/a（</w:t>
            </w:r>
            <w:r>
              <w:rPr>
                <w:rFonts w:hint="eastAsia" w:ascii="Times New Roman" w:hAnsi="Times New Roman" w:eastAsia="仿宋_GB2312" w:cs="Times New Roman"/>
                <w:color w:val="auto"/>
                <w:highlight w:val="none"/>
                <w:lang w:val="en-US" w:eastAsia="zh-CN"/>
              </w:rPr>
              <w:t>6.06</w:t>
            </w:r>
            <w:r>
              <w:rPr>
                <w:rFonts w:hint="default" w:ascii="Times New Roman" w:hAnsi="Times New Roman" w:eastAsia="仿宋_GB2312" w:cs="Times New Roman"/>
                <w:color w:val="auto"/>
                <w:highlight w:val="none"/>
                <w:lang w:val="en-US" w:eastAsia="zh-CN"/>
              </w:rPr>
              <w:t>m</w:t>
            </w:r>
            <w:r>
              <w:rPr>
                <w:rFonts w:hint="default" w:ascii="Times New Roman" w:hAnsi="Times New Roman" w:eastAsia="仿宋_GB2312" w:cs="Times New Roman"/>
                <w:color w:val="auto"/>
                <w:highlight w:val="none"/>
                <w:vertAlign w:val="superscript"/>
                <w:lang w:val="en-US" w:eastAsia="zh-CN"/>
              </w:rPr>
              <w:t>3</w:t>
            </w:r>
            <w:r>
              <w:rPr>
                <w:rFonts w:hint="default" w:ascii="Times New Roman" w:hAnsi="Times New Roman" w:eastAsia="仿宋_GB2312" w:cs="Times New Roman"/>
                <w:color w:val="auto"/>
                <w:highlight w:val="none"/>
                <w:lang w:val="en-US" w:eastAsia="zh-CN"/>
              </w:rPr>
              <w:t>/d），利用周边居民旱厕，定期清掏，用于周边农田施肥。少量盥洗废水用于泼洒抑尘</w:t>
            </w:r>
            <w:r>
              <w:rPr>
                <w:rFonts w:hint="eastAsia" w:ascii="Times New Roman" w:hAnsi="Times New Roman" w:eastAsia="仿宋_GB2312" w:cs="Times New Roman"/>
                <w:color w:val="auto"/>
                <w:highlight w:val="none"/>
                <w:lang w:val="en-US" w:eastAsia="zh-CN"/>
              </w:rPr>
              <w:t>。</w:t>
            </w:r>
          </w:p>
          <w:p>
            <w:pPr>
              <w:pStyle w:val="115"/>
              <w:spacing w:line="360" w:lineRule="auto"/>
              <w:rPr>
                <w:rFonts w:hint="default" w:ascii="Times New Roman" w:hAnsi="Times New Roman" w:eastAsia="仿宋_GB2312" w:cs="Times New Roman"/>
                <w:color w:val="auto"/>
                <w:highlight w:val="none"/>
                <w:lang w:val="en-US" w:eastAsia="zh-CN"/>
              </w:rPr>
            </w:pPr>
            <w:r>
              <w:rPr>
                <w:rFonts w:hint="eastAsia" w:ascii="Times New Roman" w:hAnsi="Times New Roman" w:eastAsia="仿宋_GB2312" w:cs="Times New Roman"/>
                <w:color w:val="auto"/>
                <w:highlight w:val="none"/>
                <w:lang w:val="en-US" w:eastAsia="zh-CN"/>
              </w:rPr>
              <w:t>根据建设单位提供的空气能热泵给排水资料，本项目空气能热泵排水产生量约为2.0m</w:t>
            </w:r>
            <w:r>
              <w:rPr>
                <w:rFonts w:hint="eastAsia" w:ascii="Times New Roman" w:hAnsi="Times New Roman" w:eastAsia="仿宋_GB2312" w:cs="Times New Roman"/>
                <w:color w:val="auto"/>
                <w:highlight w:val="none"/>
                <w:vertAlign w:val="superscript"/>
                <w:lang w:val="en-US" w:eastAsia="zh-CN"/>
              </w:rPr>
              <w:t>3</w:t>
            </w:r>
            <w:r>
              <w:rPr>
                <w:rFonts w:hint="eastAsia" w:ascii="Times New Roman" w:hAnsi="Times New Roman" w:eastAsia="仿宋_GB2312" w:cs="Times New Roman"/>
                <w:color w:val="auto"/>
                <w:highlight w:val="none"/>
                <w:lang w:val="en-US" w:eastAsia="zh-CN"/>
              </w:rPr>
              <w:t>/d(660m</w:t>
            </w:r>
            <w:r>
              <w:rPr>
                <w:rFonts w:hint="eastAsia" w:ascii="Times New Roman" w:hAnsi="Times New Roman" w:eastAsia="仿宋_GB2312" w:cs="Times New Roman"/>
                <w:color w:val="auto"/>
                <w:highlight w:val="none"/>
                <w:vertAlign w:val="superscript"/>
                <w:lang w:val="en-US" w:eastAsia="zh-CN"/>
              </w:rPr>
              <w:t>3</w:t>
            </w:r>
            <w:r>
              <w:rPr>
                <w:rFonts w:hint="eastAsia" w:ascii="Times New Roman" w:hAnsi="Times New Roman" w:eastAsia="仿宋_GB2312" w:cs="Times New Roman"/>
                <w:color w:val="auto"/>
                <w:highlight w:val="none"/>
                <w:lang w:val="en-US" w:eastAsia="zh-CN"/>
              </w:rPr>
              <w:t>/a)。用于菌棒堆料棚洒水抑尘，不外排。</w:t>
            </w:r>
          </w:p>
          <w:p>
            <w:pPr>
              <w:pStyle w:val="15"/>
              <w:keepNext w:val="0"/>
              <w:keepLines w:val="0"/>
              <w:pageBreakBefore w:val="0"/>
              <w:widowControl/>
              <w:kinsoku/>
              <w:wordWrap/>
              <w:overflowPunct/>
              <w:topLinePunct w:val="0"/>
              <w:autoSpaceDE/>
              <w:autoSpaceDN/>
              <w:bidi w:val="0"/>
              <w:adjustRightInd/>
              <w:snapToGrid w:val="0"/>
              <w:spacing w:before="0" w:after="0" w:line="360" w:lineRule="auto"/>
              <w:ind w:right="0"/>
              <w:textAlignment w:val="auto"/>
              <w:rPr>
                <w:rFonts w:hint="eastAsia" w:eastAsia="仿宋_GB2312" w:cs="Times New Roman"/>
                <w:b/>
                <w:bCs w:val="0"/>
                <w:color w:val="auto"/>
                <w:sz w:val="24"/>
                <w:szCs w:val="24"/>
                <w:highlight w:val="none"/>
                <w:vertAlign w:val="baseline"/>
                <w:lang w:val="en-US" w:eastAsia="zh-CN"/>
              </w:rPr>
            </w:pPr>
            <w:r>
              <w:rPr>
                <w:rFonts w:hint="eastAsia" w:eastAsia="仿宋_GB2312" w:cs="Times New Roman"/>
                <w:b/>
                <w:bCs w:val="0"/>
                <w:color w:val="auto"/>
                <w:sz w:val="24"/>
                <w:szCs w:val="24"/>
                <w:highlight w:val="none"/>
                <w:vertAlign w:val="baseline"/>
                <w:lang w:val="en-US" w:eastAsia="zh-CN"/>
              </w:rPr>
              <w:t>4、主要产品方案、生产设备、原材料消耗</w:t>
            </w:r>
          </w:p>
          <w:p>
            <w:pPr>
              <w:pStyle w:val="15"/>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eastAsia="仿宋_GB2312" w:cs="Times New Roman"/>
                <w:b w:val="0"/>
                <w:bCs/>
                <w:color w:val="auto"/>
                <w:sz w:val="24"/>
                <w:szCs w:val="24"/>
                <w:highlight w:val="none"/>
                <w:vertAlign w:val="baseline"/>
                <w:lang w:val="en-US" w:eastAsia="zh-CN"/>
              </w:rPr>
            </w:pPr>
            <w:r>
              <w:rPr>
                <w:rFonts w:hint="eastAsia" w:eastAsia="仿宋_GB2312" w:cs="Times New Roman"/>
                <w:b w:val="0"/>
                <w:bCs/>
                <w:color w:val="auto"/>
                <w:sz w:val="24"/>
                <w:szCs w:val="24"/>
                <w:highlight w:val="none"/>
                <w:vertAlign w:val="baseline"/>
                <w:lang w:val="en-US" w:eastAsia="zh-CN"/>
              </w:rPr>
              <w:t>(1)主要产品方案</w:t>
            </w:r>
          </w:p>
          <w:p>
            <w:pPr>
              <w:pStyle w:val="15"/>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eastAsia="仿宋_GB2312" w:cs="Times New Roman"/>
                <w:b w:val="0"/>
                <w:bCs/>
                <w:color w:val="auto"/>
                <w:sz w:val="24"/>
                <w:szCs w:val="24"/>
                <w:highlight w:val="none"/>
                <w:vertAlign w:val="baseline"/>
                <w:lang w:val="en-US" w:eastAsia="zh-CN"/>
              </w:rPr>
            </w:pPr>
            <w:r>
              <w:rPr>
                <w:rFonts w:hint="eastAsia" w:eastAsia="仿宋_GB2312" w:cs="Times New Roman"/>
                <w:b w:val="0"/>
                <w:bCs/>
                <w:color w:val="auto"/>
                <w:sz w:val="24"/>
                <w:szCs w:val="24"/>
                <w:highlight w:val="none"/>
                <w:vertAlign w:val="baseline"/>
                <w:lang w:val="en-US" w:eastAsia="zh-CN"/>
              </w:rPr>
              <w:t>本次项目主要产品方案见下表5。</w:t>
            </w:r>
          </w:p>
          <w:p>
            <w:pPr>
              <w:adjustRightInd w:val="0"/>
              <w:ind w:firstLine="420" w:firstLineChars="200"/>
              <w:jc w:val="both"/>
              <w:rPr>
                <w:color w:val="auto"/>
              </w:rPr>
            </w:pPr>
            <w:r>
              <w:rPr>
                <w:rFonts w:hint="default" w:ascii="Times New Roman" w:hAnsi="Times New Roman" w:eastAsia="宋体" w:cs="Times New Roman"/>
                <w:b w:val="0"/>
                <w:bCs w:val="0"/>
                <w:color w:val="auto"/>
                <w:sz w:val="21"/>
                <w:szCs w:val="21"/>
                <w:highlight w:val="none"/>
              </w:rPr>
              <w:t>表</w:t>
            </w:r>
            <w:r>
              <w:rPr>
                <w:rFonts w:hint="eastAsia"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 xml:space="preserve">      </w:t>
            </w:r>
            <w:r>
              <w:rPr>
                <w:rFonts w:hint="default" w:ascii="Times New Roman" w:hAnsi="Times New Roman" w:eastAsia="宋体" w:cs="Times New Roman"/>
                <w:b/>
                <w:bCs/>
                <w:color w:val="auto"/>
                <w:sz w:val="21"/>
                <w:szCs w:val="21"/>
                <w:highlight w:val="none"/>
              </w:rPr>
              <w:t>项目产品方案一览表</w:t>
            </w:r>
          </w:p>
          <w:tbl>
            <w:tblPr>
              <w:tblStyle w:val="77"/>
              <w:tblW w:w="849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99"/>
              <w:gridCol w:w="1307"/>
              <w:gridCol w:w="2183"/>
              <w:gridCol w:w="2183"/>
              <w:gridCol w:w="182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999"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kern w:val="0"/>
                      <w:sz w:val="21"/>
                      <w:szCs w:val="21"/>
                      <w:u w:val="none" w:color="auto"/>
                      <w:lang w:val="en-US" w:eastAsia="zh-CN" w:bidi="ar"/>
                    </w:rPr>
                  </w:pPr>
                  <w:r>
                    <w:rPr>
                      <w:rFonts w:hint="eastAsia" w:cs="Times New Roman"/>
                      <w:b/>
                      <w:bCs/>
                      <w:i w:val="0"/>
                      <w:iCs w:val="0"/>
                      <w:color w:val="auto"/>
                      <w:kern w:val="0"/>
                      <w:sz w:val="21"/>
                      <w:szCs w:val="21"/>
                      <w:u w:val="none" w:color="auto"/>
                      <w:lang w:val="en-US" w:eastAsia="zh-CN" w:bidi="ar"/>
                    </w:rPr>
                    <w:t>序号</w:t>
                  </w:r>
                </w:p>
              </w:tc>
              <w:tc>
                <w:tcPr>
                  <w:tcW w:w="1307"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产品名称</w:t>
                  </w:r>
                </w:p>
              </w:tc>
              <w:tc>
                <w:tcPr>
                  <w:tcW w:w="2183"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规格</w:t>
                  </w:r>
                </w:p>
              </w:tc>
              <w:tc>
                <w:tcPr>
                  <w:tcW w:w="2183"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规模</w:t>
                  </w:r>
                </w:p>
              </w:tc>
              <w:tc>
                <w:tcPr>
                  <w:tcW w:w="1825"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单位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1" w:hRule="atLeast"/>
                <w:jc w:val="center"/>
              </w:trPr>
              <w:tc>
                <w:tcPr>
                  <w:tcW w:w="999"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307"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香菇（棒料）</w:t>
                  </w:r>
                </w:p>
              </w:tc>
              <w:tc>
                <w:tcPr>
                  <w:tcW w:w="2183"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15×55cm，重量1.8-2kg</w:t>
                  </w:r>
                </w:p>
              </w:tc>
              <w:tc>
                <w:tcPr>
                  <w:tcW w:w="2183"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1155</w:t>
                  </w:r>
                </w:p>
              </w:tc>
              <w:tc>
                <w:tcPr>
                  <w:tcW w:w="1825"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万棒</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1" w:hRule="atLeast"/>
                <w:jc w:val="center"/>
              </w:trPr>
              <w:tc>
                <w:tcPr>
                  <w:tcW w:w="999"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2</w:t>
                  </w:r>
                </w:p>
              </w:tc>
              <w:tc>
                <w:tcPr>
                  <w:tcW w:w="1307"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鲜菇、木耳</w:t>
                  </w:r>
                </w:p>
              </w:tc>
              <w:tc>
                <w:tcPr>
                  <w:tcW w:w="2183"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w:t>
                  </w:r>
                </w:p>
              </w:tc>
              <w:tc>
                <w:tcPr>
                  <w:tcW w:w="2183"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3</w:t>
                  </w:r>
                </w:p>
              </w:tc>
              <w:tc>
                <w:tcPr>
                  <w:tcW w:w="1825"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万t/a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4" w:hRule="atLeast"/>
                <w:jc w:val="center"/>
              </w:trPr>
              <w:tc>
                <w:tcPr>
                  <w:tcW w:w="999" w:type="dxa"/>
                  <w:tcBorders>
                    <w:tl2br w:val="nil"/>
                    <w:tr2bl w:val="nil"/>
                  </w:tcBorders>
                  <w:vAlign w:val="center"/>
                </w:tcPr>
                <w:p>
                  <w:pPr>
                    <w:keepNext w:val="0"/>
                    <w:keepLines w:val="0"/>
                    <w:widowControl/>
                    <w:suppressLineNumbers w:val="0"/>
                    <w:spacing w:line="240" w:lineRule="auto"/>
                    <w:jc w:val="center"/>
                    <w:textAlignment w:val="center"/>
                    <w:rPr>
                      <w:rFonts w:hint="default"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3</w:t>
                  </w:r>
                </w:p>
              </w:tc>
              <w:tc>
                <w:tcPr>
                  <w:tcW w:w="1307" w:type="dxa"/>
                  <w:tcBorders>
                    <w:tl2br w:val="nil"/>
                    <w:tr2bl w:val="nil"/>
                  </w:tcBorders>
                  <w:vAlign w:val="center"/>
                </w:tcPr>
                <w:p>
                  <w:pPr>
                    <w:keepNext w:val="0"/>
                    <w:keepLines w:val="0"/>
                    <w:widowControl/>
                    <w:suppressLineNumbers w:val="0"/>
                    <w:spacing w:line="240" w:lineRule="auto"/>
                    <w:jc w:val="center"/>
                    <w:textAlignment w:val="center"/>
                    <w:rPr>
                      <w:rFonts w:hint="default"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干菇</w:t>
                  </w:r>
                </w:p>
              </w:tc>
              <w:tc>
                <w:tcPr>
                  <w:tcW w:w="2183" w:type="dxa"/>
                  <w:tcBorders>
                    <w:tl2br w:val="nil"/>
                    <w:tr2bl w:val="nil"/>
                  </w:tcBorders>
                  <w:vAlign w:val="center"/>
                </w:tcPr>
                <w:p>
                  <w:pPr>
                    <w:keepNext w:val="0"/>
                    <w:keepLines w:val="0"/>
                    <w:widowControl/>
                    <w:suppressLineNumbers w:val="0"/>
                    <w:spacing w:line="240" w:lineRule="auto"/>
                    <w:jc w:val="center"/>
                    <w:textAlignment w:val="center"/>
                    <w:rPr>
                      <w:rFonts w:hint="default"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w:t>
                  </w:r>
                </w:p>
              </w:tc>
              <w:tc>
                <w:tcPr>
                  <w:tcW w:w="2183" w:type="dxa"/>
                  <w:tcBorders>
                    <w:tl2br w:val="nil"/>
                    <w:tr2bl w:val="nil"/>
                  </w:tcBorders>
                  <w:vAlign w:val="center"/>
                </w:tcPr>
                <w:p>
                  <w:pPr>
                    <w:keepNext w:val="0"/>
                    <w:keepLines w:val="0"/>
                    <w:widowControl/>
                    <w:suppressLineNumbers w:val="0"/>
                    <w:spacing w:line="240" w:lineRule="auto"/>
                    <w:jc w:val="center"/>
                    <w:textAlignment w:val="center"/>
                    <w:rPr>
                      <w:rFonts w:hint="default"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1</w:t>
                  </w:r>
                </w:p>
              </w:tc>
              <w:tc>
                <w:tcPr>
                  <w:tcW w:w="1825"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万t/a</w:t>
                  </w:r>
                </w:p>
              </w:tc>
            </w:tr>
          </w:tbl>
          <w:p>
            <w:pPr>
              <w:pStyle w:val="15"/>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eastAsia="仿宋_GB2312" w:cs="Times New Roman"/>
                <w:b w:val="0"/>
                <w:bCs/>
                <w:color w:val="auto"/>
                <w:sz w:val="24"/>
                <w:szCs w:val="24"/>
                <w:highlight w:val="none"/>
                <w:vertAlign w:val="baseline"/>
                <w:lang w:val="en-US" w:eastAsia="zh-CN"/>
              </w:rPr>
            </w:pPr>
            <w:r>
              <w:rPr>
                <w:rFonts w:hint="eastAsia" w:eastAsia="仿宋_GB2312" w:cs="Times New Roman"/>
                <w:b w:val="0"/>
                <w:bCs/>
                <w:color w:val="auto"/>
                <w:sz w:val="24"/>
                <w:szCs w:val="24"/>
                <w:highlight w:val="none"/>
                <w:vertAlign w:val="baseline"/>
                <w:lang w:val="en-US" w:eastAsia="zh-CN"/>
              </w:rPr>
              <w:t>(2)生产设备</w:t>
            </w:r>
          </w:p>
          <w:p>
            <w:pPr>
              <w:pStyle w:val="15"/>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eastAsia="仿宋_GB2312" w:cs="Times New Roman"/>
                <w:b w:val="0"/>
                <w:bCs/>
                <w:color w:val="auto"/>
                <w:sz w:val="24"/>
                <w:szCs w:val="24"/>
                <w:highlight w:val="none"/>
                <w:vertAlign w:val="baseline"/>
                <w:lang w:val="en-US" w:eastAsia="zh-CN"/>
              </w:rPr>
            </w:pPr>
            <w:r>
              <w:rPr>
                <w:rFonts w:hint="eastAsia" w:eastAsia="仿宋_GB2312" w:cs="Times New Roman"/>
                <w:b w:val="0"/>
                <w:bCs/>
                <w:color w:val="auto"/>
                <w:sz w:val="24"/>
                <w:szCs w:val="24"/>
                <w:highlight w:val="none"/>
                <w:vertAlign w:val="baseline"/>
                <w:lang w:val="en-US" w:eastAsia="zh-CN"/>
              </w:rPr>
              <w:t>本项目主要设备见表6。</w:t>
            </w:r>
          </w:p>
          <w:p>
            <w:pPr>
              <w:adjustRightInd w:val="0"/>
              <w:ind w:firstLine="420" w:firstLineChars="200"/>
              <w:jc w:val="both"/>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val="0"/>
                <w:bCs w:val="0"/>
                <w:color w:val="auto"/>
                <w:sz w:val="21"/>
                <w:szCs w:val="21"/>
                <w:highlight w:val="none"/>
              </w:rPr>
              <w:t>表</w:t>
            </w:r>
            <w:r>
              <w:rPr>
                <w:rFonts w:hint="eastAsia" w:cs="Times New Roman"/>
                <w:b w:val="0"/>
                <w:bCs w:val="0"/>
                <w:color w:val="auto"/>
                <w:sz w:val="21"/>
                <w:szCs w:val="21"/>
                <w:highlight w:val="none"/>
                <w:lang w:val="en-US" w:eastAsia="zh-CN"/>
              </w:rPr>
              <w:t>6</w:t>
            </w:r>
            <w:r>
              <w:rPr>
                <w:rFonts w:hint="default" w:ascii="Times New Roman" w:hAnsi="Times New Roman" w:eastAsia="宋体" w:cs="Times New Roman"/>
                <w:b w:val="0"/>
                <w:bCs w:val="0"/>
                <w:color w:val="auto"/>
                <w:sz w:val="21"/>
                <w:szCs w:val="21"/>
                <w:highlight w:val="none"/>
              </w:rPr>
              <w:t xml:space="preserve">      </w:t>
            </w:r>
            <w:r>
              <w:rPr>
                <w:rFonts w:hint="default" w:ascii="Times New Roman" w:hAnsi="Times New Roman" w:eastAsia="宋体" w:cs="Times New Roman"/>
                <w:b/>
                <w:bCs/>
                <w:color w:val="auto"/>
                <w:sz w:val="21"/>
                <w:szCs w:val="21"/>
                <w:highlight w:val="none"/>
              </w:rPr>
              <w:t>项目</w:t>
            </w:r>
            <w:r>
              <w:rPr>
                <w:rFonts w:hint="eastAsia" w:cs="Times New Roman"/>
                <w:b/>
                <w:bCs/>
                <w:color w:val="auto"/>
                <w:sz w:val="21"/>
                <w:szCs w:val="21"/>
                <w:highlight w:val="none"/>
                <w:lang w:val="en-US" w:eastAsia="zh-CN"/>
              </w:rPr>
              <w:t>生产设备</w:t>
            </w:r>
            <w:r>
              <w:rPr>
                <w:rFonts w:hint="default" w:ascii="Times New Roman" w:hAnsi="Times New Roman" w:eastAsia="宋体" w:cs="Times New Roman"/>
                <w:b/>
                <w:bCs/>
                <w:color w:val="auto"/>
                <w:sz w:val="21"/>
                <w:szCs w:val="21"/>
                <w:highlight w:val="none"/>
              </w:rPr>
              <w:t>一览表</w:t>
            </w:r>
          </w:p>
          <w:tbl>
            <w:tblPr>
              <w:tblStyle w:val="77"/>
              <w:tblW w:w="4993"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746"/>
              <w:gridCol w:w="2401"/>
              <w:gridCol w:w="2478"/>
              <w:gridCol w:w="1418"/>
              <w:gridCol w:w="142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1" w:hRule="atLeast"/>
                <w:jc w:val="center"/>
              </w:trPr>
              <w:tc>
                <w:tcPr>
                  <w:tcW w:w="746" w:type="dxa"/>
                  <w:tcBorders>
                    <w:tl2br w:val="nil"/>
                    <w:tr2bl w:val="nil"/>
                  </w:tcBorders>
                  <w:vAlign w:val="top"/>
                </w:tcPr>
                <w:p>
                  <w:pPr>
                    <w:pStyle w:val="90"/>
                    <w:spacing w:before="68" w:line="230" w:lineRule="auto"/>
                    <w:ind w:left="156"/>
                    <w:rPr>
                      <w:b/>
                      <w:bCs/>
                      <w:color w:val="auto"/>
                      <w:sz w:val="20"/>
                      <w:szCs w:val="20"/>
                    </w:rPr>
                  </w:pPr>
                  <w:r>
                    <w:rPr>
                      <w:b/>
                      <w:bCs/>
                      <w:color w:val="auto"/>
                      <w:spacing w:val="5"/>
                      <w:sz w:val="20"/>
                      <w:szCs w:val="20"/>
                    </w:rPr>
                    <w:t>序号</w:t>
                  </w:r>
                </w:p>
              </w:tc>
              <w:tc>
                <w:tcPr>
                  <w:tcW w:w="2401" w:type="dxa"/>
                  <w:tcBorders>
                    <w:tl2br w:val="nil"/>
                    <w:tr2bl w:val="nil"/>
                  </w:tcBorders>
                  <w:vAlign w:val="top"/>
                </w:tcPr>
                <w:p>
                  <w:pPr>
                    <w:pStyle w:val="90"/>
                    <w:spacing w:before="68" w:line="230" w:lineRule="auto"/>
                    <w:ind w:left="758"/>
                    <w:rPr>
                      <w:b/>
                      <w:bCs/>
                      <w:color w:val="auto"/>
                      <w:sz w:val="20"/>
                      <w:szCs w:val="20"/>
                    </w:rPr>
                  </w:pPr>
                  <w:r>
                    <w:rPr>
                      <w:b/>
                      <w:bCs/>
                      <w:color w:val="auto"/>
                      <w:spacing w:val="6"/>
                      <w:sz w:val="20"/>
                      <w:szCs w:val="20"/>
                    </w:rPr>
                    <w:t>设备名称</w:t>
                  </w:r>
                </w:p>
              </w:tc>
              <w:tc>
                <w:tcPr>
                  <w:tcW w:w="2478" w:type="dxa"/>
                  <w:tcBorders>
                    <w:tl2br w:val="nil"/>
                    <w:tr2bl w:val="nil"/>
                  </w:tcBorders>
                  <w:vAlign w:val="top"/>
                </w:tcPr>
                <w:p>
                  <w:pPr>
                    <w:pStyle w:val="90"/>
                    <w:spacing w:before="69" w:line="228" w:lineRule="auto"/>
                    <w:ind w:left="799"/>
                    <w:rPr>
                      <w:b/>
                      <w:bCs/>
                      <w:color w:val="auto"/>
                      <w:sz w:val="20"/>
                      <w:szCs w:val="20"/>
                    </w:rPr>
                  </w:pPr>
                  <w:r>
                    <w:rPr>
                      <w:b/>
                      <w:bCs/>
                      <w:color w:val="auto"/>
                      <w:spacing w:val="5"/>
                      <w:sz w:val="20"/>
                      <w:szCs w:val="20"/>
                    </w:rPr>
                    <w:t>型号规格</w:t>
                  </w:r>
                </w:p>
              </w:tc>
              <w:tc>
                <w:tcPr>
                  <w:tcW w:w="1418" w:type="dxa"/>
                  <w:tcBorders>
                    <w:tl2br w:val="nil"/>
                    <w:tr2bl w:val="nil"/>
                  </w:tcBorders>
                  <w:vAlign w:val="top"/>
                </w:tcPr>
                <w:p>
                  <w:pPr>
                    <w:pStyle w:val="90"/>
                    <w:spacing w:before="69" w:line="228" w:lineRule="auto"/>
                    <w:ind w:left="489"/>
                    <w:rPr>
                      <w:b/>
                      <w:bCs/>
                      <w:color w:val="auto"/>
                      <w:sz w:val="20"/>
                      <w:szCs w:val="20"/>
                    </w:rPr>
                  </w:pPr>
                  <w:r>
                    <w:rPr>
                      <w:b/>
                      <w:bCs/>
                      <w:color w:val="auto"/>
                      <w:spacing w:val="3"/>
                      <w:sz w:val="20"/>
                      <w:szCs w:val="20"/>
                    </w:rPr>
                    <w:t>数量</w:t>
                  </w:r>
                </w:p>
              </w:tc>
              <w:tc>
                <w:tcPr>
                  <w:tcW w:w="1427" w:type="dxa"/>
                  <w:tcBorders>
                    <w:tl2br w:val="nil"/>
                    <w:tr2bl w:val="nil"/>
                  </w:tcBorders>
                  <w:vAlign w:val="top"/>
                </w:tcPr>
                <w:p>
                  <w:pPr>
                    <w:pStyle w:val="90"/>
                    <w:spacing w:before="68" w:line="230" w:lineRule="auto"/>
                    <w:ind w:left="493"/>
                    <w:rPr>
                      <w:b/>
                      <w:bCs/>
                      <w:color w:val="auto"/>
                      <w:sz w:val="20"/>
                      <w:szCs w:val="20"/>
                    </w:rPr>
                  </w:pPr>
                  <w:r>
                    <w:rPr>
                      <w:b/>
                      <w:bCs/>
                      <w:color w:val="auto"/>
                      <w:spacing w:val="3"/>
                      <w:sz w:val="20"/>
                      <w:szCs w:val="20"/>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746"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1</w:t>
                  </w:r>
                </w:p>
              </w:tc>
              <w:tc>
                <w:tcPr>
                  <w:tcW w:w="2401" w:type="dxa"/>
                  <w:tcBorders>
                    <w:tl2br w:val="nil"/>
                    <w:tr2bl w:val="nil"/>
                  </w:tcBorders>
                  <w:vAlign w:val="center"/>
                </w:tcPr>
                <w:p>
                  <w:pPr>
                    <w:keepNext w:val="0"/>
                    <w:keepLines w:val="0"/>
                    <w:widowControl/>
                    <w:suppressLineNumbers w:val="0"/>
                    <w:spacing w:line="240" w:lineRule="auto"/>
                    <w:jc w:val="center"/>
                    <w:textAlignment w:val="center"/>
                    <w:rPr>
                      <w:rFonts w:hint="default"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空气能热泵</w:t>
                  </w:r>
                </w:p>
              </w:tc>
              <w:tc>
                <w:tcPr>
                  <w:tcW w:w="2478" w:type="dxa"/>
                  <w:tcBorders>
                    <w:tl2br w:val="nil"/>
                    <w:tr2bl w:val="nil"/>
                  </w:tcBorders>
                  <w:vAlign w:val="center"/>
                </w:tcPr>
                <w:p>
                  <w:pPr>
                    <w:keepNext w:val="0"/>
                    <w:keepLines w:val="0"/>
                    <w:widowControl/>
                    <w:suppressLineNumbers w:val="0"/>
                    <w:spacing w:line="240" w:lineRule="auto"/>
                    <w:jc w:val="center"/>
                    <w:textAlignment w:val="center"/>
                    <w:rPr>
                      <w:rFonts w:hint="default"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2.1MW</w:t>
                  </w:r>
                </w:p>
              </w:tc>
              <w:tc>
                <w:tcPr>
                  <w:tcW w:w="141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1台</w:t>
                  </w:r>
                </w:p>
              </w:tc>
              <w:tc>
                <w:tcPr>
                  <w:tcW w:w="1427"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蒸汽供应</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746"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2</w:t>
                  </w:r>
                </w:p>
              </w:tc>
              <w:tc>
                <w:tcPr>
                  <w:tcW w:w="2401"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长棒流水线</w:t>
                  </w:r>
                </w:p>
              </w:tc>
              <w:tc>
                <w:tcPr>
                  <w:tcW w:w="247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w:t>
                  </w:r>
                </w:p>
              </w:tc>
              <w:tc>
                <w:tcPr>
                  <w:tcW w:w="141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1台</w:t>
                  </w:r>
                </w:p>
              </w:tc>
              <w:tc>
                <w:tcPr>
                  <w:tcW w:w="1427" w:type="dxa"/>
                  <w:vMerge w:val="restart"/>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菌棒生产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746"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3</w:t>
                  </w:r>
                </w:p>
              </w:tc>
              <w:tc>
                <w:tcPr>
                  <w:tcW w:w="2401"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灭菌柜</w:t>
                  </w:r>
                </w:p>
              </w:tc>
              <w:tc>
                <w:tcPr>
                  <w:tcW w:w="247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SW-CJ-1A</w:t>
                  </w:r>
                </w:p>
              </w:tc>
              <w:tc>
                <w:tcPr>
                  <w:tcW w:w="141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7台</w:t>
                  </w:r>
                </w:p>
              </w:tc>
              <w:tc>
                <w:tcPr>
                  <w:tcW w:w="1427" w:type="dxa"/>
                  <w:vMerge w:val="continue"/>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746"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4</w:t>
                  </w:r>
                </w:p>
              </w:tc>
              <w:tc>
                <w:tcPr>
                  <w:tcW w:w="2401"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灭菌架</w:t>
                  </w:r>
                </w:p>
              </w:tc>
              <w:tc>
                <w:tcPr>
                  <w:tcW w:w="247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MQ20</w:t>
                  </w:r>
                </w:p>
              </w:tc>
              <w:tc>
                <w:tcPr>
                  <w:tcW w:w="141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300个</w:t>
                  </w:r>
                </w:p>
              </w:tc>
              <w:tc>
                <w:tcPr>
                  <w:tcW w:w="1427" w:type="dxa"/>
                  <w:vMerge w:val="continue"/>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746"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5</w:t>
                  </w:r>
                </w:p>
              </w:tc>
              <w:tc>
                <w:tcPr>
                  <w:tcW w:w="2401"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电叉车</w:t>
                  </w:r>
                </w:p>
              </w:tc>
              <w:tc>
                <w:tcPr>
                  <w:tcW w:w="247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XCB25-L5-C</w:t>
                  </w:r>
                </w:p>
              </w:tc>
              <w:tc>
                <w:tcPr>
                  <w:tcW w:w="141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2台</w:t>
                  </w:r>
                </w:p>
              </w:tc>
              <w:tc>
                <w:tcPr>
                  <w:tcW w:w="1427"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运输</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746"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6</w:t>
                  </w:r>
                </w:p>
              </w:tc>
              <w:tc>
                <w:tcPr>
                  <w:tcW w:w="2401"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粉碎机组</w:t>
                  </w:r>
                </w:p>
              </w:tc>
              <w:tc>
                <w:tcPr>
                  <w:tcW w:w="247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w:t>
                  </w:r>
                </w:p>
              </w:tc>
              <w:tc>
                <w:tcPr>
                  <w:tcW w:w="141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1套</w:t>
                  </w:r>
                </w:p>
              </w:tc>
              <w:tc>
                <w:tcPr>
                  <w:tcW w:w="1427"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辅助设施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746"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7</w:t>
                  </w:r>
                </w:p>
              </w:tc>
              <w:tc>
                <w:tcPr>
                  <w:tcW w:w="2401"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地磅</w:t>
                  </w:r>
                </w:p>
              </w:tc>
              <w:tc>
                <w:tcPr>
                  <w:tcW w:w="247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w:t>
                  </w:r>
                </w:p>
              </w:tc>
              <w:tc>
                <w:tcPr>
                  <w:tcW w:w="141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1台</w:t>
                  </w:r>
                </w:p>
              </w:tc>
              <w:tc>
                <w:tcPr>
                  <w:tcW w:w="1427"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运输</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746"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8</w:t>
                  </w:r>
                </w:p>
              </w:tc>
              <w:tc>
                <w:tcPr>
                  <w:tcW w:w="2401"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铲车</w:t>
                  </w:r>
                </w:p>
              </w:tc>
              <w:tc>
                <w:tcPr>
                  <w:tcW w:w="247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w:t>
                  </w:r>
                </w:p>
              </w:tc>
              <w:tc>
                <w:tcPr>
                  <w:tcW w:w="141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1台</w:t>
                  </w:r>
                </w:p>
              </w:tc>
              <w:tc>
                <w:tcPr>
                  <w:tcW w:w="1427"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运输</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1" w:hRule="atLeast"/>
                <w:jc w:val="center"/>
              </w:trPr>
              <w:tc>
                <w:tcPr>
                  <w:tcW w:w="746"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9</w:t>
                  </w:r>
                </w:p>
              </w:tc>
              <w:tc>
                <w:tcPr>
                  <w:tcW w:w="2401"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数字化显示系统</w:t>
                  </w:r>
                </w:p>
              </w:tc>
              <w:tc>
                <w:tcPr>
                  <w:tcW w:w="247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w:t>
                  </w:r>
                </w:p>
              </w:tc>
              <w:tc>
                <w:tcPr>
                  <w:tcW w:w="141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1套</w:t>
                  </w:r>
                </w:p>
              </w:tc>
              <w:tc>
                <w:tcPr>
                  <w:tcW w:w="1427" w:type="dxa"/>
                  <w:vMerge w:val="restart"/>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辅助设施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1" w:hRule="atLeast"/>
                <w:jc w:val="center"/>
              </w:trPr>
              <w:tc>
                <w:tcPr>
                  <w:tcW w:w="746" w:type="dxa"/>
                  <w:tcBorders>
                    <w:tl2br w:val="nil"/>
                    <w:tr2bl w:val="nil"/>
                  </w:tcBorders>
                  <w:vAlign w:val="center"/>
                </w:tcPr>
                <w:p>
                  <w:pPr>
                    <w:keepNext w:val="0"/>
                    <w:keepLines w:val="0"/>
                    <w:widowControl/>
                    <w:suppressLineNumbers w:val="0"/>
                    <w:spacing w:line="240" w:lineRule="auto"/>
                    <w:jc w:val="center"/>
                    <w:textAlignment w:val="center"/>
                    <w:rPr>
                      <w:rFonts w:hint="default"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10</w:t>
                  </w:r>
                </w:p>
              </w:tc>
              <w:tc>
                <w:tcPr>
                  <w:tcW w:w="2401" w:type="dxa"/>
                  <w:tcBorders>
                    <w:tl2br w:val="nil"/>
                    <w:tr2bl w:val="nil"/>
                  </w:tcBorders>
                  <w:vAlign w:val="center"/>
                </w:tcPr>
                <w:p>
                  <w:pPr>
                    <w:keepNext w:val="0"/>
                    <w:keepLines w:val="0"/>
                    <w:widowControl/>
                    <w:suppressLineNumbers w:val="0"/>
                    <w:spacing w:line="240" w:lineRule="auto"/>
                    <w:jc w:val="center"/>
                    <w:textAlignment w:val="center"/>
                    <w:rPr>
                      <w:rFonts w:hint="default"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箱式变电站</w:t>
                  </w:r>
                </w:p>
              </w:tc>
              <w:tc>
                <w:tcPr>
                  <w:tcW w:w="247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200KVA 双杆变台</w:t>
                  </w:r>
                </w:p>
              </w:tc>
              <w:tc>
                <w:tcPr>
                  <w:tcW w:w="141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1台</w:t>
                  </w:r>
                </w:p>
              </w:tc>
              <w:tc>
                <w:tcPr>
                  <w:tcW w:w="1427" w:type="dxa"/>
                  <w:vMerge w:val="continue"/>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1" w:hRule="atLeast"/>
                <w:jc w:val="center"/>
              </w:trPr>
              <w:tc>
                <w:tcPr>
                  <w:tcW w:w="746" w:type="dxa"/>
                  <w:tcBorders>
                    <w:tl2br w:val="nil"/>
                    <w:tr2bl w:val="nil"/>
                  </w:tcBorders>
                  <w:vAlign w:val="center"/>
                </w:tcPr>
                <w:p>
                  <w:pPr>
                    <w:keepNext w:val="0"/>
                    <w:keepLines w:val="0"/>
                    <w:widowControl/>
                    <w:suppressLineNumbers w:val="0"/>
                    <w:spacing w:line="240" w:lineRule="auto"/>
                    <w:jc w:val="center"/>
                    <w:textAlignment w:val="center"/>
                    <w:rPr>
                      <w:rFonts w:hint="default"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11</w:t>
                  </w:r>
                </w:p>
              </w:tc>
              <w:tc>
                <w:tcPr>
                  <w:tcW w:w="2401"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阀门井数量</w:t>
                  </w:r>
                </w:p>
              </w:tc>
              <w:tc>
                <w:tcPr>
                  <w:tcW w:w="247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规格ø1400mm</w:t>
                  </w:r>
                </w:p>
              </w:tc>
              <w:tc>
                <w:tcPr>
                  <w:tcW w:w="1418"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2个</w:t>
                  </w:r>
                </w:p>
              </w:tc>
              <w:tc>
                <w:tcPr>
                  <w:tcW w:w="1427" w:type="dxa"/>
                  <w:vMerge w:val="continue"/>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1" w:hRule="atLeast"/>
                <w:jc w:val="center"/>
              </w:trPr>
              <w:tc>
                <w:tcPr>
                  <w:tcW w:w="746" w:type="dxa"/>
                  <w:tcBorders>
                    <w:tl2br w:val="nil"/>
                    <w:tr2bl w:val="nil"/>
                  </w:tcBorders>
                  <w:vAlign w:val="center"/>
                </w:tcPr>
                <w:p>
                  <w:pPr>
                    <w:keepNext w:val="0"/>
                    <w:keepLines w:val="0"/>
                    <w:widowControl/>
                    <w:suppressLineNumbers w:val="0"/>
                    <w:spacing w:line="240" w:lineRule="auto"/>
                    <w:jc w:val="center"/>
                    <w:textAlignment w:val="center"/>
                    <w:rPr>
                      <w:rFonts w:hint="default"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12</w:t>
                  </w:r>
                </w:p>
              </w:tc>
              <w:tc>
                <w:tcPr>
                  <w:tcW w:w="2401"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高压灭菌锅</w:t>
                  </w:r>
                </w:p>
              </w:tc>
              <w:tc>
                <w:tcPr>
                  <w:tcW w:w="2478" w:type="dxa"/>
                  <w:tcBorders>
                    <w:tl2br w:val="nil"/>
                    <w:tr2bl w:val="nil"/>
                  </w:tcBorders>
                  <w:vAlign w:val="center"/>
                </w:tcPr>
                <w:p>
                  <w:pPr>
                    <w:keepNext w:val="0"/>
                    <w:keepLines w:val="0"/>
                    <w:widowControl/>
                    <w:suppressLineNumbers w:val="0"/>
                    <w:spacing w:line="240" w:lineRule="auto"/>
                    <w:jc w:val="center"/>
                    <w:textAlignment w:val="center"/>
                    <w:rPr>
                      <w:rFonts w:hint="default"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w:t>
                  </w:r>
                </w:p>
              </w:tc>
              <w:tc>
                <w:tcPr>
                  <w:tcW w:w="1418" w:type="dxa"/>
                  <w:tcBorders>
                    <w:tl2br w:val="nil"/>
                    <w:tr2bl w:val="nil"/>
                  </w:tcBorders>
                  <w:vAlign w:val="center"/>
                </w:tcPr>
                <w:p>
                  <w:pPr>
                    <w:keepNext w:val="0"/>
                    <w:keepLines w:val="0"/>
                    <w:widowControl/>
                    <w:suppressLineNumbers w:val="0"/>
                    <w:spacing w:line="240" w:lineRule="auto"/>
                    <w:jc w:val="center"/>
                    <w:textAlignment w:val="center"/>
                    <w:rPr>
                      <w:rFonts w:hint="default"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3台</w:t>
                  </w:r>
                </w:p>
              </w:tc>
              <w:tc>
                <w:tcPr>
                  <w:tcW w:w="1427" w:type="dxa"/>
                  <w:tcBorders>
                    <w:tl2br w:val="nil"/>
                    <w:tr2bl w:val="nil"/>
                  </w:tcBorders>
                  <w:vAlign w:val="center"/>
                </w:tcPr>
                <w:p>
                  <w:pPr>
                    <w:keepNext w:val="0"/>
                    <w:keepLines w:val="0"/>
                    <w:widowControl/>
                    <w:suppressLineNumbers w:val="0"/>
                    <w:spacing w:line="240" w:lineRule="auto"/>
                    <w:jc w:val="center"/>
                    <w:textAlignment w:val="center"/>
                    <w:rPr>
                      <w:rFonts w:hint="eastAsia" w:cs="Times New Roman"/>
                      <w:i w:val="0"/>
                      <w:iCs w:val="0"/>
                      <w:color w:val="auto"/>
                      <w:kern w:val="0"/>
                      <w:sz w:val="21"/>
                      <w:szCs w:val="21"/>
                      <w:u w:val="none" w:color="auto"/>
                      <w:lang w:val="en-US" w:eastAsia="zh-CN" w:bidi="ar"/>
                    </w:rPr>
                  </w:pPr>
                  <w:r>
                    <w:rPr>
                      <w:rFonts w:hint="eastAsia" w:cs="Times New Roman"/>
                      <w:i w:val="0"/>
                      <w:iCs w:val="0"/>
                      <w:color w:val="auto"/>
                      <w:kern w:val="0"/>
                      <w:sz w:val="21"/>
                      <w:szCs w:val="21"/>
                      <w:u w:val="none" w:color="auto"/>
                      <w:lang w:val="en-US" w:eastAsia="zh-CN" w:bidi="ar"/>
                    </w:rPr>
                    <w:t>菌棒生产</w:t>
                  </w:r>
                </w:p>
              </w:tc>
            </w:tr>
          </w:tbl>
          <w:p>
            <w:pPr>
              <w:pStyle w:val="15"/>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仿宋_GB2312" w:cs="Times New Roman"/>
                <w:b w:val="0"/>
                <w:bCs/>
                <w:color w:val="auto"/>
                <w:sz w:val="24"/>
                <w:szCs w:val="24"/>
                <w:highlight w:val="none"/>
                <w:vertAlign w:val="baseline"/>
                <w:lang w:val="en-US" w:eastAsia="zh-CN"/>
              </w:rPr>
            </w:pPr>
            <w:r>
              <w:rPr>
                <w:rFonts w:hint="eastAsia" w:eastAsia="仿宋_GB2312" w:cs="Times New Roman"/>
                <w:b w:val="0"/>
                <w:bCs/>
                <w:color w:val="auto"/>
                <w:sz w:val="24"/>
                <w:szCs w:val="24"/>
                <w:highlight w:val="none"/>
                <w:vertAlign w:val="baseline"/>
                <w:lang w:val="en-US" w:eastAsia="zh-CN"/>
              </w:rPr>
              <w:t>(3)</w:t>
            </w:r>
            <w:r>
              <w:rPr>
                <w:rFonts w:hint="default" w:ascii="Times New Roman" w:hAnsi="Times New Roman" w:eastAsia="仿宋_GB2312" w:cs="Times New Roman"/>
                <w:b w:val="0"/>
                <w:bCs/>
                <w:color w:val="auto"/>
                <w:sz w:val="24"/>
                <w:szCs w:val="24"/>
                <w:highlight w:val="none"/>
                <w:vertAlign w:val="baseline"/>
                <w:lang w:val="en-US" w:eastAsia="zh-CN"/>
              </w:rPr>
              <w:t>主要原辅材料</w:t>
            </w:r>
          </w:p>
          <w:p>
            <w:pPr>
              <w:pStyle w:val="15"/>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仿宋_GB2312" w:cs="Times New Roman"/>
                <w:b w:val="0"/>
                <w:bCs/>
                <w:color w:val="auto"/>
                <w:sz w:val="24"/>
                <w:szCs w:val="24"/>
                <w:highlight w:val="none"/>
                <w:vertAlign w:val="baseline"/>
                <w:lang w:val="en-US" w:eastAsia="zh-CN"/>
              </w:rPr>
            </w:pPr>
            <w:r>
              <w:rPr>
                <w:rFonts w:hint="default" w:ascii="Times New Roman" w:hAnsi="Times New Roman" w:eastAsia="仿宋_GB2312" w:cs="Times New Roman"/>
                <w:b w:val="0"/>
                <w:bCs/>
                <w:color w:val="auto"/>
                <w:sz w:val="24"/>
                <w:szCs w:val="24"/>
                <w:highlight w:val="none"/>
                <w:vertAlign w:val="baseline"/>
                <w:lang w:val="en-US" w:eastAsia="zh-CN"/>
              </w:rPr>
              <w:t>本项目主要原辅材料</w:t>
            </w:r>
            <w:r>
              <w:rPr>
                <w:rFonts w:hint="eastAsia" w:ascii="Times New Roman" w:hAnsi="Times New Roman" w:eastAsia="仿宋_GB2312" w:cs="Times New Roman"/>
                <w:b w:val="0"/>
                <w:bCs/>
                <w:color w:val="auto"/>
                <w:sz w:val="24"/>
                <w:szCs w:val="24"/>
                <w:highlight w:val="none"/>
                <w:vertAlign w:val="baseline"/>
                <w:lang w:val="en-US" w:eastAsia="zh-CN"/>
              </w:rPr>
              <w:t>及能源</w:t>
            </w:r>
            <w:r>
              <w:rPr>
                <w:rFonts w:hint="default" w:ascii="Times New Roman" w:hAnsi="Times New Roman" w:eastAsia="仿宋_GB2312" w:cs="Times New Roman"/>
                <w:b w:val="0"/>
                <w:bCs/>
                <w:color w:val="auto"/>
                <w:sz w:val="24"/>
                <w:szCs w:val="24"/>
                <w:highlight w:val="none"/>
                <w:vertAlign w:val="baseline"/>
                <w:lang w:val="en-US" w:eastAsia="zh-CN"/>
              </w:rPr>
              <w:t>消耗情况见表</w:t>
            </w:r>
            <w:r>
              <w:rPr>
                <w:rFonts w:hint="eastAsia" w:eastAsia="仿宋_GB2312" w:cs="Times New Roman"/>
                <w:b w:val="0"/>
                <w:bCs/>
                <w:color w:val="auto"/>
                <w:sz w:val="24"/>
                <w:szCs w:val="24"/>
                <w:highlight w:val="none"/>
                <w:vertAlign w:val="baseline"/>
                <w:lang w:val="en-US" w:eastAsia="zh-CN"/>
              </w:rPr>
              <w:t>7</w:t>
            </w:r>
            <w:r>
              <w:rPr>
                <w:rFonts w:hint="default" w:ascii="Times New Roman" w:hAnsi="Times New Roman" w:eastAsia="仿宋_GB2312" w:cs="Times New Roman"/>
                <w:b w:val="0"/>
                <w:bCs/>
                <w:color w:val="auto"/>
                <w:sz w:val="24"/>
                <w:szCs w:val="24"/>
                <w:highlight w:val="none"/>
                <w:vertAlign w:val="baseline"/>
                <w:lang w:val="en-US" w:eastAsia="zh-CN"/>
              </w:rPr>
              <w:t>。</w:t>
            </w:r>
          </w:p>
          <w:p>
            <w:pPr>
              <w:adjustRightInd w:val="0"/>
              <w:snapToGrid w:val="0"/>
              <w:ind w:firstLine="421" w:firstLineChars="200"/>
              <w:jc w:val="both"/>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表</w:t>
            </w:r>
            <w:r>
              <w:rPr>
                <w:rFonts w:hint="eastAsia" w:cs="Times New Roman"/>
                <w:b/>
                <w:bCs/>
                <w:color w:val="auto"/>
                <w:u w:val="none" w:color="auto"/>
                <w:lang w:val="en-US" w:eastAsia="zh-CN"/>
              </w:rPr>
              <w:t>7</w:t>
            </w:r>
            <w:r>
              <w:rPr>
                <w:rFonts w:hint="default" w:ascii="Times New Roman" w:hAnsi="Times New Roman" w:eastAsia="宋体" w:cs="Times New Roman"/>
                <w:b/>
                <w:bCs/>
                <w:color w:val="auto"/>
                <w:u w:val="none" w:color="auto"/>
              </w:rPr>
              <w:t xml:space="preserve"> </w:t>
            </w:r>
            <w:r>
              <w:rPr>
                <w:rFonts w:hint="eastAsia" w:cs="Times New Roman"/>
                <w:b/>
                <w:bCs/>
                <w:color w:val="auto"/>
                <w:u w:val="none" w:color="auto"/>
                <w:lang w:val="en-US" w:eastAsia="zh-CN"/>
              </w:rPr>
              <w:t xml:space="preserve">        </w:t>
            </w:r>
            <w:r>
              <w:rPr>
                <w:rFonts w:hint="default" w:ascii="Times New Roman" w:hAnsi="Times New Roman" w:eastAsia="宋体" w:cs="Times New Roman"/>
                <w:b/>
                <w:bCs/>
                <w:color w:val="auto"/>
                <w:u w:val="none" w:color="auto"/>
              </w:rPr>
              <w:t>主要原辅材料消耗及能源消耗情况一览表</w:t>
            </w:r>
          </w:p>
          <w:tbl>
            <w:tblPr>
              <w:tblStyle w:val="36"/>
              <w:tblW w:w="5033"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0"/>
              <w:gridCol w:w="1932"/>
              <w:gridCol w:w="1836"/>
              <w:gridCol w:w="942"/>
              <w:gridCol w:w="1822"/>
              <w:gridCol w:w="12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450" w:type="pct"/>
                  <w:shd w:val="clear" w:color="auto" w:fill="auto"/>
                  <w:noWrap w:val="0"/>
                  <w:vAlign w:val="center"/>
                </w:tcPr>
                <w:p>
                  <w:pPr>
                    <w:jc w:val="center"/>
                    <w:rPr>
                      <w:rFonts w:hint="eastAsia"/>
                      <w:color w:val="auto"/>
                      <w:sz w:val="21"/>
                      <w:szCs w:val="21"/>
                      <w:u w:val="none" w:color="auto"/>
                      <w:vertAlign w:val="baseline"/>
                      <w:lang w:val="en-US" w:eastAsia="en-US"/>
                    </w:rPr>
                  </w:pPr>
                  <w:r>
                    <w:rPr>
                      <w:rFonts w:hint="eastAsia"/>
                      <w:color w:val="auto"/>
                      <w:sz w:val="21"/>
                      <w:szCs w:val="21"/>
                      <w:u w:val="none" w:color="auto"/>
                      <w:vertAlign w:val="baseline"/>
                      <w:lang w:eastAsia="zh-CN"/>
                    </w:rPr>
                    <w:t>序号</w:t>
                  </w:r>
                </w:p>
              </w:tc>
              <w:tc>
                <w:tcPr>
                  <w:tcW w:w="1131" w:type="pct"/>
                  <w:shd w:val="clear" w:color="auto" w:fill="auto"/>
                  <w:noWrap w:val="0"/>
                  <w:vAlign w:val="center"/>
                </w:tcPr>
                <w:p>
                  <w:pPr>
                    <w:jc w:val="center"/>
                    <w:rPr>
                      <w:rFonts w:hint="eastAsia"/>
                      <w:color w:val="auto"/>
                      <w:sz w:val="21"/>
                      <w:szCs w:val="21"/>
                      <w:u w:val="none" w:color="auto"/>
                      <w:vertAlign w:val="baseline"/>
                      <w:lang w:val="en-US" w:eastAsia="en-US"/>
                    </w:rPr>
                  </w:pPr>
                  <w:r>
                    <w:rPr>
                      <w:rFonts w:hint="eastAsia"/>
                      <w:color w:val="auto"/>
                      <w:sz w:val="21"/>
                      <w:szCs w:val="21"/>
                      <w:u w:val="none" w:color="auto"/>
                      <w:vertAlign w:val="baseline"/>
                      <w:lang w:eastAsia="zh-CN"/>
                    </w:rPr>
                    <w:t>原辅材料名称</w:t>
                  </w:r>
                </w:p>
              </w:tc>
              <w:tc>
                <w:tcPr>
                  <w:tcW w:w="1075" w:type="pct"/>
                  <w:shd w:val="clear" w:color="auto" w:fill="auto"/>
                  <w:noWrap w:val="0"/>
                  <w:vAlign w:val="center"/>
                </w:tcPr>
                <w:p>
                  <w:pPr>
                    <w:jc w:val="center"/>
                    <w:rPr>
                      <w:rFonts w:hint="eastAsia"/>
                      <w:color w:val="auto"/>
                      <w:sz w:val="21"/>
                      <w:szCs w:val="21"/>
                      <w:u w:val="none" w:color="auto"/>
                      <w:vertAlign w:val="baseline"/>
                      <w:lang w:val="en-US" w:eastAsia="en-US"/>
                    </w:rPr>
                  </w:pPr>
                  <w:r>
                    <w:rPr>
                      <w:rFonts w:hint="eastAsia"/>
                      <w:color w:val="auto"/>
                      <w:sz w:val="21"/>
                      <w:szCs w:val="21"/>
                      <w:u w:val="none" w:color="auto"/>
                      <w:vertAlign w:val="baseline"/>
                      <w:lang w:eastAsia="zh-CN"/>
                    </w:rPr>
                    <w:t>消耗量</w:t>
                  </w:r>
                </w:p>
              </w:tc>
              <w:tc>
                <w:tcPr>
                  <w:tcW w:w="551" w:type="pct"/>
                  <w:shd w:val="clear" w:color="auto" w:fill="auto"/>
                  <w:noWrap w:val="0"/>
                  <w:vAlign w:val="center"/>
                </w:tcPr>
                <w:p>
                  <w:pPr>
                    <w:jc w:val="center"/>
                    <w:rPr>
                      <w:rFonts w:hint="eastAsia"/>
                      <w:color w:val="auto"/>
                      <w:sz w:val="21"/>
                      <w:szCs w:val="21"/>
                      <w:u w:val="none" w:color="auto"/>
                      <w:vertAlign w:val="baseline"/>
                      <w:lang w:val="en-US" w:eastAsia="en-US"/>
                    </w:rPr>
                  </w:pPr>
                  <w:r>
                    <w:rPr>
                      <w:rFonts w:hint="eastAsia"/>
                      <w:color w:val="auto"/>
                      <w:sz w:val="21"/>
                      <w:szCs w:val="21"/>
                      <w:u w:val="none" w:color="auto"/>
                      <w:vertAlign w:val="baseline"/>
                      <w:lang w:eastAsia="zh-CN"/>
                    </w:rPr>
                    <w:t>规格、形态</w:t>
                  </w:r>
                </w:p>
              </w:tc>
              <w:tc>
                <w:tcPr>
                  <w:tcW w:w="1067" w:type="pct"/>
                  <w:shd w:val="clear" w:color="auto" w:fill="auto"/>
                  <w:noWrap w:val="0"/>
                  <w:vAlign w:val="center"/>
                </w:tcPr>
                <w:p>
                  <w:pPr>
                    <w:jc w:val="center"/>
                    <w:rPr>
                      <w:rFonts w:hint="eastAsia"/>
                      <w:color w:val="auto"/>
                      <w:sz w:val="21"/>
                      <w:szCs w:val="21"/>
                      <w:u w:val="none" w:color="auto"/>
                      <w:vertAlign w:val="baseline"/>
                      <w:lang w:val="en-US" w:eastAsia="en-US"/>
                    </w:rPr>
                  </w:pPr>
                  <w:r>
                    <w:rPr>
                      <w:rFonts w:hint="eastAsia"/>
                      <w:color w:val="auto"/>
                      <w:sz w:val="21"/>
                      <w:szCs w:val="21"/>
                      <w:u w:val="none" w:color="auto"/>
                      <w:vertAlign w:val="baseline"/>
                      <w:lang w:eastAsia="zh-CN"/>
                    </w:rPr>
                    <w:t>包装方式</w:t>
                  </w:r>
                </w:p>
              </w:tc>
              <w:tc>
                <w:tcPr>
                  <w:tcW w:w="723" w:type="pct"/>
                  <w:shd w:val="clear" w:color="auto" w:fill="auto"/>
                  <w:noWrap w:val="0"/>
                  <w:vAlign w:val="center"/>
                </w:tcPr>
                <w:p>
                  <w:pPr>
                    <w:jc w:val="center"/>
                    <w:rPr>
                      <w:rFonts w:hint="eastAsia"/>
                      <w:color w:val="auto"/>
                      <w:sz w:val="21"/>
                      <w:szCs w:val="21"/>
                      <w:u w:val="none" w:color="auto"/>
                      <w:vertAlign w:val="baseline"/>
                      <w:lang w:val="en-US" w:eastAsia="en-US"/>
                    </w:rPr>
                  </w:pPr>
                  <w:r>
                    <w:rPr>
                      <w:rFonts w:hint="eastAsia"/>
                      <w:color w:val="auto"/>
                      <w:sz w:val="21"/>
                      <w:szCs w:val="21"/>
                      <w:u w:val="none" w:color="auto"/>
                      <w:vertAlign w:val="baseline"/>
                      <w:lang w:eastAsia="zh-CN"/>
                    </w:rPr>
                    <w:t>最大储量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450" w:type="pct"/>
                  <w:shd w:val="clear" w:color="auto" w:fill="auto"/>
                  <w:noWrap w:val="0"/>
                  <w:vAlign w:val="center"/>
                </w:tcPr>
                <w:p>
                  <w:pPr>
                    <w:jc w:val="center"/>
                    <w:rPr>
                      <w:rFonts w:hint="eastAsia"/>
                      <w:color w:val="auto"/>
                      <w:sz w:val="21"/>
                      <w:szCs w:val="21"/>
                      <w:u w:val="none" w:color="auto"/>
                      <w:vertAlign w:val="baseline"/>
                      <w:lang w:val="en-US" w:eastAsia="zh-CN"/>
                    </w:rPr>
                  </w:pPr>
                  <w:r>
                    <w:rPr>
                      <w:rFonts w:hint="eastAsia"/>
                      <w:color w:val="auto"/>
                      <w:sz w:val="21"/>
                      <w:szCs w:val="21"/>
                      <w:u w:val="none" w:color="auto"/>
                      <w:vertAlign w:val="baseline"/>
                      <w:lang w:eastAsia="zh-CN"/>
                    </w:rPr>
                    <w:t>1</w:t>
                  </w:r>
                </w:p>
              </w:tc>
              <w:tc>
                <w:tcPr>
                  <w:tcW w:w="1131"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木屑</w:t>
                  </w:r>
                </w:p>
              </w:tc>
              <w:tc>
                <w:tcPr>
                  <w:tcW w:w="1075"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val="en-US" w:eastAsia="zh-CN"/>
                    </w:rPr>
                    <w:t>7130.2</w:t>
                  </w:r>
                  <w:r>
                    <w:rPr>
                      <w:rFonts w:hint="eastAsia"/>
                      <w:color w:val="auto"/>
                      <w:sz w:val="21"/>
                      <w:szCs w:val="21"/>
                      <w:u w:val="none" w:color="auto"/>
                      <w:vertAlign w:val="baseline"/>
                      <w:lang w:eastAsia="zh-CN"/>
                    </w:rPr>
                    <w:t>t/a</w:t>
                  </w:r>
                </w:p>
              </w:tc>
              <w:tc>
                <w:tcPr>
                  <w:tcW w:w="551"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固态</w:t>
                  </w:r>
                </w:p>
              </w:tc>
              <w:tc>
                <w:tcPr>
                  <w:tcW w:w="1067"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袋装</w:t>
                  </w:r>
                </w:p>
              </w:tc>
              <w:tc>
                <w:tcPr>
                  <w:tcW w:w="723" w:type="pct"/>
                  <w:shd w:val="clear" w:color="auto" w:fill="auto"/>
                  <w:noWrap w:val="0"/>
                  <w:vAlign w:val="center"/>
                </w:tcPr>
                <w:p>
                  <w:pPr>
                    <w:jc w:val="center"/>
                    <w:rPr>
                      <w:rFonts w:hint="eastAsia"/>
                      <w:color w:val="auto"/>
                      <w:sz w:val="21"/>
                      <w:szCs w:val="21"/>
                      <w:u w:val="none" w:color="auto"/>
                      <w:vertAlign w:val="baseline"/>
                      <w:lang w:val="en-US" w:eastAsia="zh-CN"/>
                    </w:rPr>
                  </w:pPr>
                  <w:r>
                    <w:rPr>
                      <w:rFonts w:hint="eastAsia"/>
                      <w:color w:val="auto"/>
                      <w:sz w:val="21"/>
                      <w:szCs w:val="21"/>
                      <w:u w:val="none" w:color="auto"/>
                      <w:vertAlign w:val="baseline"/>
                      <w:lang w:eastAsia="zh-CN"/>
                    </w:rPr>
                    <w:t>150 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450" w:type="pct"/>
                  <w:shd w:val="clear" w:color="auto" w:fill="auto"/>
                  <w:noWrap w:val="0"/>
                  <w:vAlign w:val="center"/>
                </w:tcPr>
                <w:p>
                  <w:pPr>
                    <w:jc w:val="center"/>
                    <w:rPr>
                      <w:rFonts w:hint="eastAsia"/>
                      <w:color w:val="auto"/>
                      <w:sz w:val="21"/>
                      <w:szCs w:val="21"/>
                      <w:u w:val="none" w:color="auto"/>
                      <w:vertAlign w:val="baseline"/>
                      <w:lang w:val="en-US" w:eastAsia="zh-CN"/>
                    </w:rPr>
                  </w:pPr>
                  <w:r>
                    <w:rPr>
                      <w:rFonts w:hint="eastAsia"/>
                      <w:color w:val="auto"/>
                      <w:sz w:val="21"/>
                      <w:szCs w:val="21"/>
                      <w:u w:val="none" w:color="auto"/>
                      <w:vertAlign w:val="baseline"/>
                      <w:lang w:eastAsia="zh-CN"/>
                    </w:rPr>
                    <w:t>2</w:t>
                  </w:r>
                </w:p>
              </w:tc>
              <w:tc>
                <w:tcPr>
                  <w:tcW w:w="1131" w:type="pct"/>
                  <w:shd w:val="clear" w:color="auto" w:fill="auto"/>
                  <w:noWrap w:val="0"/>
                  <w:vAlign w:val="center"/>
                </w:tcPr>
                <w:p>
                  <w:pPr>
                    <w:jc w:val="center"/>
                    <w:rPr>
                      <w:rFonts w:hint="eastAsia"/>
                      <w:color w:val="auto"/>
                      <w:sz w:val="21"/>
                      <w:szCs w:val="21"/>
                      <w:u w:val="none" w:color="auto"/>
                      <w:vertAlign w:val="baseline"/>
                      <w:lang w:val="en-US" w:eastAsia="zh-CN"/>
                    </w:rPr>
                  </w:pPr>
                  <w:r>
                    <w:rPr>
                      <w:rFonts w:hint="eastAsia"/>
                      <w:color w:val="auto"/>
                      <w:sz w:val="21"/>
                      <w:szCs w:val="21"/>
                      <w:u w:val="none" w:color="auto"/>
                      <w:vertAlign w:val="baseline"/>
                      <w:lang w:eastAsia="zh-CN"/>
                    </w:rPr>
                    <w:t>玉米芯</w:t>
                  </w:r>
                </w:p>
              </w:tc>
              <w:tc>
                <w:tcPr>
                  <w:tcW w:w="1075"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val="en-US" w:eastAsia="zh-CN"/>
                    </w:rPr>
                    <w:t>5624.85</w:t>
                  </w:r>
                  <w:r>
                    <w:rPr>
                      <w:rFonts w:hint="eastAsia"/>
                      <w:color w:val="auto"/>
                      <w:sz w:val="21"/>
                      <w:szCs w:val="21"/>
                      <w:u w:val="none" w:color="auto"/>
                      <w:vertAlign w:val="baseline"/>
                      <w:lang w:eastAsia="zh-CN"/>
                    </w:rPr>
                    <w:t>t/a</w:t>
                  </w:r>
                </w:p>
              </w:tc>
              <w:tc>
                <w:tcPr>
                  <w:tcW w:w="551"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固态</w:t>
                  </w:r>
                </w:p>
              </w:tc>
              <w:tc>
                <w:tcPr>
                  <w:tcW w:w="1067"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袋装</w:t>
                  </w:r>
                </w:p>
              </w:tc>
              <w:tc>
                <w:tcPr>
                  <w:tcW w:w="723" w:type="pct"/>
                  <w:shd w:val="clear" w:color="auto" w:fill="auto"/>
                  <w:noWrap w:val="0"/>
                  <w:vAlign w:val="center"/>
                </w:tcPr>
                <w:p>
                  <w:pPr>
                    <w:jc w:val="center"/>
                    <w:rPr>
                      <w:rFonts w:hint="eastAsia"/>
                      <w:color w:val="auto"/>
                      <w:sz w:val="21"/>
                      <w:szCs w:val="21"/>
                      <w:u w:val="none" w:color="auto"/>
                      <w:vertAlign w:val="baseline"/>
                      <w:lang w:val="en-US" w:eastAsia="en-US"/>
                    </w:rPr>
                  </w:pPr>
                  <w:r>
                    <w:rPr>
                      <w:rFonts w:hint="eastAsia"/>
                      <w:color w:val="auto"/>
                      <w:sz w:val="21"/>
                      <w:szCs w:val="21"/>
                      <w:u w:val="none" w:color="auto"/>
                      <w:vertAlign w:val="baseline"/>
                      <w:lang w:eastAsia="zh-CN"/>
                    </w:rPr>
                    <w:t>122 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450" w:type="pct"/>
                  <w:shd w:val="clear" w:color="auto" w:fill="auto"/>
                  <w:noWrap w:val="0"/>
                  <w:vAlign w:val="center"/>
                </w:tcPr>
                <w:p>
                  <w:pPr>
                    <w:jc w:val="center"/>
                    <w:rPr>
                      <w:rFonts w:hint="eastAsia"/>
                      <w:color w:val="auto"/>
                      <w:sz w:val="21"/>
                      <w:szCs w:val="21"/>
                      <w:u w:val="none" w:color="auto"/>
                      <w:vertAlign w:val="baseline"/>
                      <w:lang w:val="en-US" w:eastAsia="zh-CN"/>
                    </w:rPr>
                  </w:pPr>
                  <w:r>
                    <w:rPr>
                      <w:rFonts w:hint="eastAsia"/>
                      <w:color w:val="auto"/>
                      <w:sz w:val="21"/>
                      <w:szCs w:val="21"/>
                      <w:u w:val="none" w:color="auto"/>
                      <w:vertAlign w:val="baseline"/>
                      <w:lang w:eastAsia="zh-CN"/>
                    </w:rPr>
                    <w:t>3</w:t>
                  </w:r>
                </w:p>
              </w:tc>
              <w:tc>
                <w:tcPr>
                  <w:tcW w:w="1131"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麦皮</w:t>
                  </w:r>
                </w:p>
              </w:tc>
              <w:tc>
                <w:tcPr>
                  <w:tcW w:w="1075"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val="en-US" w:eastAsia="zh-CN"/>
                    </w:rPr>
                    <w:t>7368.9</w:t>
                  </w:r>
                  <w:r>
                    <w:rPr>
                      <w:rFonts w:hint="eastAsia"/>
                      <w:color w:val="auto"/>
                      <w:sz w:val="21"/>
                      <w:szCs w:val="21"/>
                      <w:u w:val="none" w:color="auto"/>
                      <w:vertAlign w:val="baseline"/>
                      <w:lang w:eastAsia="zh-CN"/>
                    </w:rPr>
                    <w:t>t/a</w:t>
                  </w:r>
                </w:p>
              </w:tc>
              <w:tc>
                <w:tcPr>
                  <w:tcW w:w="551"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固态</w:t>
                  </w:r>
                </w:p>
              </w:tc>
              <w:tc>
                <w:tcPr>
                  <w:tcW w:w="1067"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袋装</w:t>
                  </w:r>
                </w:p>
              </w:tc>
              <w:tc>
                <w:tcPr>
                  <w:tcW w:w="723" w:type="pct"/>
                  <w:shd w:val="clear" w:color="auto" w:fill="auto"/>
                  <w:noWrap w:val="0"/>
                  <w:vAlign w:val="center"/>
                </w:tcPr>
                <w:p>
                  <w:pPr>
                    <w:jc w:val="center"/>
                    <w:rPr>
                      <w:rFonts w:hint="eastAsia"/>
                      <w:color w:val="auto"/>
                      <w:sz w:val="21"/>
                      <w:szCs w:val="21"/>
                      <w:u w:val="none" w:color="auto"/>
                      <w:vertAlign w:val="baseline"/>
                      <w:lang w:val="en-US" w:eastAsia="en-US"/>
                    </w:rPr>
                  </w:pPr>
                  <w:r>
                    <w:rPr>
                      <w:rFonts w:hint="eastAsia"/>
                      <w:color w:val="auto"/>
                      <w:sz w:val="21"/>
                      <w:szCs w:val="21"/>
                      <w:u w:val="none" w:color="auto"/>
                      <w:vertAlign w:val="baseline"/>
                      <w:lang w:eastAsia="zh-CN"/>
                    </w:rPr>
                    <w:t>240 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450" w:type="pct"/>
                  <w:shd w:val="clear" w:color="auto" w:fill="auto"/>
                  <w:noWrap w:val="0"/>
                  <w:vAlign w:val="center"/>
                </w:tcPr>
                <w:p>
                  <w:pPr>
                    <w:jc w:val="center"/>
                    <w:rPr>
                      <w:rFonts w:hint="eastAsia"/>
                      <w:color w:val="auto"/>
                      <w:sz w:val="21"/>
                      <w:szCs w:val="21"/>
                      <w:u w:val="none" w:color="auto"/>
                      <w:vertAlign w:val="baseline"/>
                      <w:lang w:val="en-US" w:eastAsia="zh-CN"/>
                    </w:rPr>
                  </w:pPr>
                  <w:r>
                    <w:rPr>
                      <w:rFonts w:hint="eastAsia"/>
                      <w:color w:val="auto"/>
                      <w:sz w:val="21"/>
                      <w:szCs w:val="21"/>
                      <w:u w:val="none" w:color="auto"/>
                      <w:vertAlign w:val="baseline"/>
                      <w:lang w:eastAsia="zh-CN"/>
                    </w:rPr>
                    <w:t>4</w:t>
                  </w:r>
                </w:p>
              </w:tc>
              <w:tc>
                <w:tcPr>
                  <w:tcW w:w="1131" w:type="pct"/>
                  <w:shd w:val="clear" w:color="auto" w:fill="auto"/>
                  <w:noWrap w:val="0"/>
                  <w:vAlign w:val="center"/>
                </w:tcPr>
                <w:p>
                  <w:pPr>
                    <w:jc w:val="center"/>
                    <w:rPr>
                      <w:rFonts w:hint="eastAsia"/>
                      <w:color w:val="auto"/>
                      <w:sz w:val="21"/>
                      <w:szCs w:val="21"/>
                      <w:u w:val="none" w:color="auto"/>
                      <w:vertAlign w:val="baseline"/>
                      <w:lang w:val="en-US" w:eastAsia="zh-CN"/>
                    </w:rPr>
                  </w:pPr>
                  <w:r>
                    <w:rPr>
                      <w:rFonts w:hint="eastAsia"/>
                      <w:color w:val="auto"/>
                      <w:sz w:val="21"/>
                      <w:szCs w:val="21"/>
                      <w:u w:val="none" w:color="auto"/>
                      <w:vertAlign w:val="baseline"/>
                      <w:lang w:eastAsia="zh-CN"/>
                    </w:rPr>
                    <w:t>豆粕</w:t>
                  </w:r>
                </w:p>
              </w:tc>
              <w:tc>
                <w:tcPr>
                  <w:tcW w:w="1075"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val="en-US" w:eastAsia="zh-CN"/>
                    </w:rPr>
                    <w:t>1220.45</w:t>
                  </w:r>
                  <w:r>
                    <w:rPr>
                      <w:rFonts w:hint="eastAsia"/>
                      <w:color w:val="auto"/>
                      <w:sz w:val="21"/>
                      <w:szCs w:val="21"/>
                      <w:u w:val="none" w:color="auto"/>
                      <w:vertAlign w:val="baseline"/>
                      <w:lang w:eastAsia="zh-CN"/>
                    </w:rPr>
                    <w:t>t/a</w:t>
                  </w:r>
                </w:p>
              </w:tc>
              <w:tc>
                <w:tcPr>
                  <w:tcW w:w="551"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固态</w:t>
                  </w:r>
                </w:p>
              </w:tc>
              <w:tc>
                <w:tcPr>
                  <w:tcW w:w="1067"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袋装</w:t>
                  </w:r>
                </w:p>
              </w:tc>
              <w:tc>
                <w:tcPr>
                  <w:tcW w:w="723" w:type="pct"/>
                  <w:shd w:val="clear" w:color="auto" w:fill="auto"/>
                  <w:noWrap w:val="0"/>
                  <w:vAlign w:val="center"/>
                </w:tcPr>
                <w:p>
                  <w:pPr>
                    <w:jc w:val="center"/>
                    <w:rPr>
                      <w:rFonts w:hint="eastAsia"/>
                      <w:color w:val="auto"/>
                      <w:sz w:val="21"/>
                      <w:szCs w:val="21"/>
                      <w:u w:val="none" w:color="auto"/>
                      <w:vertAlign w:val="baseline"/>
                      <w:lang w:val="en-US" w:eastAsia="en-US"/>
                    </w:rPr>
                  </w:pPr>
                  <w:r>
                    <w:rPr>
                      <w:rFonts w:hint="eastAsia"/>
                      <w:color w:val="auto"/>
                      <w:sz w:val="21"/>
                      <w:szCs w:val="21"/>
                      <w:u w:val="none" w:color="auto"/>
                      <w:vertAlign w:val="baseline"/>
                      <w:lang w:eastAsia="zh-CN"/>
                    </w:rPr>
                    <w:t>30 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450" w:type="pct"/>
                  <w:shd w:val="clear" w:color="auto" w:fill="auto"/>
                  <w:noWrap w:val="0"/>
                  <w:vAlign w:val="center"/>
                </w:tcPr>
                <w:p>
                  <w:pPr>
                    <w:jc w:val="center"/>
                    <w:rPr>
                      <w:rFonts w:hint="eastAsia"/>
                      <w:color w:val="auto"/>
                      <w:sz w:val="21"/>
                      <w:szCs w:val="21"/>
                      <w:u w:val="none" w:color="auto"/>
                      <w:vertAlign w:val="baseline"/>
                      <w:lang w:val="en-US" w:eastAsia="zh-CN"/>
                    </w:rPr>
                  </w:pPr>
                  <w:r>
                    <w:rPr>
                      <w:rFonts w:hint="eastAsia"/>
                      <w:color w:val="auto"/>
                      <w:sz w:val="21"/>
                      <w:szCs w:val="21"/>
                      <w:u w:val="none" w:color="auto"/>
                      <w:vertAlign w:val="baseline"/>
                      <w:lang w:eastAsia="zh-CN"/>
                    </w:rPr>
                    <w:t>5</w:t>
                  </w:r>
                </w:p>
              </w:tc>
              <w:tc>
                <w:tcPr>
                  <w:tcW w:w="1131" w:type="pct"/>
                  <w:shd w:val="clear" w:color="auto" w:fill="auto"/>
                  <w:noWrap w:val="0"/>
                  <w:vAlign w:val="center"/>
                </w:tcPr>
                <w:p>
                  <w:pPr>
                    <w:jc w:val="center"/>
                    <w:rPr>
                      <w:rFonts w:hint="eastAsia"/>
                      <w:color w:val="auto"/>
                      <w:sz w:val="21"/>
                      <w:szCs w:val="21"/>
                      <w:u w:val="none" w:color="auto"/>
                      <w:vertAlign w:val="baseline"/>
                      <w:lang w:val="en-US" w:eastAsia="zh-CN"/>
                    </w:rPr>
                  </w:pPr>
                  <w:r>
                    <w:rPr>
                      <w:rFonts w:hint="eastAsia"/>
                      <w:color w:val="auto"/>
                      <w:sz w:val="21"/>
                      <w:szCs w:val="21"/>
                      <w:u w:val="none" w:color="auto"/>
                      <w:vertAlign w:val="baseline"/>
                      <w:lang w:eastAsia="zh-CN"/>
                    </w:rPr>
                    <w:t>棉籽壳</w:t>
                  </w:r>
                </w:p>
              </w:tc>
              <w:tc>
                <w:tcPr>
                  <w:tcW w:w="1075"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val="en-US" w:eastAsia="zh-CN"/>
                    </w:rPr>
                    <w:t>1998.15</w:t>
                  </w:r>
                  <w:r>
                    <w:rPr>
                      <w:rFonts w:hint="eastAsia"/>
                      <w:color w:val="auto"/>
                      <w:sz w:val="21"/>
                      <w:szCs w:val="21"/>
                      <w:u w:val="none" w:color="auto"/>
                      <w:vertAlign w:val="baseline"/>
                      <w:lang w:eastAsia="zh-CN"/>
                    </w:rPr>
                    <w:t>t/a</w:t>
                  </w:r>
                </w:p>
              </w:tc>
              <w:tc>
                <w:tcPr>
                  <w:tcW w:w="551"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固态</w:t>
                  </w:r>
                </w:p>
              </w:tc>
              <w:tc>
                <w:tcPr>
                  <w:tcW w:w="1067"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袋装</w:t>
                  </w:r>
                </w:p>
              </w:tc>
              <w:tc>
                <w:tcPr>
                  <w:tcW w:w="723" w:type="pct"/>
                  <w:shd w:val="clear" w:color="auto" w:fill="auto"/>
                  <w:noWrap w:val="0"/>
                  <w:vAlign w:val="center"/>
                </w:tcPr>
                <w:p>
                  <w:pPr>
                    <w:jc w:val="center"/>
                    <w:rPr>
                      <w:rFonts w:hint="eastAsia"/>
                      <w:color w:val="auto"/>
                      <w:sz w:val="21"/>
                      <w:szCs w:val="21"/>
                      <w:u w:val="none" w:color="auto"/>
                      <w:vertAlign w:val="baseline"/>
                      <w:lang w:val="en-US" w:eastAsia="en-US"/>
                    </w:rPr>
                  </w:pPr>
                  <w:r>
                    <w:rPr>
                      <w:rFonts w:hint="eastAsia"/>
                      <w:color w:val="auto"/>
                      <w:sz w:val="21"/>
                      <w:szCs w:val="21"/>
                      <w:u w:val="none" w:color="auto"/>
                      <w:vertAlign w:val="baseline"/>
                      <w:lang w:eastAsia="zh-CN"/>
                    </w:rPr>
                    <w:t>50 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450"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6</w:t>
                  </w:r>
                </w:p>
              </w:tc>
              <w:tc>
                <w:tcPr>
                  <w:tcW w:w="1131"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玉米粉</w:t>
                  </w:r>
                </w:p>
              </w:tc>
              <w:tc>
                <w:tcPr>
                  <w:tcW w:w="1075"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val="en-US" w:eastAsia="zh-CN"/>
                    </w:rPr>
                    <w:t>1120.35</w:t>
                  </w:r>
                  <w:r>
                    <w:rPr>
                      <w:rFonts w:hint="eastAsia"/>
                      <w:color w:val="auto"/>
                      <w:sz w:val="21"/>
                      <w:szCs w:val="21"/>
                      <w:u w:val="none" w:color="auto"/>
                      <w:vertAlign w:val="baseline"/>
                      <w:lang w:eastAsia="zh-CN"/>
                    </w:rPr>
                    <w:t>t/a</w:t>
                  </w:r>
                </w:p>
              </w:tc>
              <w:tc>
                <w:tcPr>
                  <w:tcW w:w="551"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固态</w:t>
                  </w:r>
                </w:p>
              </w:tc>
              <w:tc>
                <w:tcPr>
                  <w:tcW w:w="1067"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袋装</w:t>
                  </w:r>
                </w:p>
              </w:tc>
              <w:tc>
                <w:tcPr>
                  <w:tcW w:w="723" w:type="pct"/>
                  <w:shd w:val="clear" w:color="auto" w:fill="auto"/>
                  <w:noWrap w:val="0"/>
                  <w:vAlign w:val="center"/>
                </w:tcPr>
                <w:p>
                  <w:pPr>
                    <w:jc w:val="center"/>
                    <w:rPr>
                      <w:rFonts w:hint="eastAsia"/>
                      <w:color w:val="auto"/>
                      <w:sz w:val="21"/>
                      <w:szCs w:val="21"/>
                      <w:u w:val="none" w:color="auto"/>
                      <w:vertAlign w:val="baseline"/>
                      <w:lang w:val="en-US" w:eastAsia="zh-CN"/>
                    </w:rPr>
                  </w:pPr>
                  <w:r>
                    <w:rPr>
                      <w:rFonts w:hint="eastAsia"/>
                      <w:color w:val="auto"/>
                      <w:sz w:val="21"/>
                      <w:szCs w:val="21"/>
                      <w:u w:val="none" w:color="auto"/>
                      <w:vertAlign w:val="baseline"/>
                      <w:lang w:eastAsia="zh-CN"/>
                    </w:rPr>
                    <w:t>30 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450"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7</w:t>
                  </w:r>
                </w:p>
              </w:tc>
              <w:tc>
                <w:tcPr>
                  <w:tcW w:w="1131"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轻钙</w:t>
                  </w:r>
                </w:p>
              </w:tc>
              <w:tc>
                <w:tcPr>
                  <w:tcW w:w="1075"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val="en-US" w:eastAsia="zh-CN"/>
                    </w:rPr>
                    <w:t>427.35</w:t>
                  </w:r>
                  <w:r>
                    <w:rPr>
                      <w:rFonts w:hint="eastAsia"/>
                      <w:color w:val="auto"/>
                      <w:sz w:val="21"/>
                      <w:szCs w:val="21"/>
                      <w:u w:val="none" w:color="auto"/>
                      <w:vertAlign w:val="baseline"/>
                      <w:lang w:eastAsia="zh-CN"/>
                    </w:rPr>
                    <w:t>t/a</w:t>
                  </w:r>
                </w:p>
              </w:tc>
              <w:tc>
                <w:tcPr>
                  <w:tcW w:w="551"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固态</w:t>
                  </w:r>
                </w:p>
              </w:tc>
              <w:tc>
                <w:tcPr>
                  <w:tcW w:w="1067"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袋装</w:t>
                  </w:r>
                </w:p>
              </w:tc>
              <w:tc>
                <w:tcPr>
                  <w:tcW w:w="723" w:type="pct"/>
                  <w:shd w:val="clear" w:color="auto" w:fill="auto"/>
                  <w:noWrap w:val="0"/>
                  <w:vAlign w:val="center"/>
                </w:tcPr>
                <w:p>
                  <w:pPr>
                    <w:jc w:val="center"/>
                    <w:rPr>
                      <w:rFonts w:hint="eastAsia"/>
                      <w:color w:val="auto"/>
                      <w:sz w:val="21"/>
                      <w:szCs w:val="21"/>
                      <w:u w:val="none" w:color="auto"/>
                      <w:vertAlign w:val="baseline"/>
                      <w:lang w:val="en-US" w:eastAsia="en-US"/>
                    </w:rPr>
                  </w:pPr>
                  <w:r>
                    <w:rPr>
                      <w:rFonts w:hint="eastAsia"/>
                      <w:color w:val="auto"/>
                      <w:sz w:val="21"/>
                      <w:szCs w:val="21"/>
                      <w:u w:val="none" w:color="auto"/>
                      <w:vertAlign w:val="baseline"/>
                      <w:lang w:eastAsia="zh-CN"/>
                    </w:rPr>
                    <w:t>10 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450" w:type="pct"/>
                  <w:shd w:val="clear" w:color="auto" w:fill="auto"/>
                  <w:noWrap w:val="0"/>
                  <w:vAlign w:val="center"/>
                </w:tcPr>
                <w:p>
                  <w:pPr>
                    <w:jc w:val="center"/>
                    <w:rPr>
                      <w:rFonts w:hint="eastAsia"/>
                      <w:color w:val="auto"/>
                      <w:sz w:val="21"/>
                      <w:szCs w:val="21"/>
                      <w:u w:val="none" w:color="auto"/>
                      <w:vertAlign w:val="baseline"/>
                      <w:lang w:val="en-US" w:eastAsia="zh-CN"/>
                    </w:rPr>
                  </w:pPr>
                  <w:r>
                    <w:rPr>
                      <w:rFonts w:hint="eastAsia"/>
                      <w:color w:val="auto"/>
                      <w:sz w:val="21"/>
                      <w:szCs w:val="21"/>
                      <w:u w:val="none" w:color="auto"/>
                      <w:vertAlign w:val="baseline"/>
                      <w:lang w:eastAsia="zh-CN"/>
                    </w:rPr>
                    <w:t>8</w:t>
                  </w:r>
                </w:p>
              </w:tc>
              <w:tc>
                <w:tcPr>
                  <w:tcW w:w="1131"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石膏粉</w:t>
                  </w:r>
                </w:p>
              </w:tc>
              <w:tc>
                <w:tcPr>
                  <w:tcW w:w="1075"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val="en-US" w:eastAsia="zh-CN"/>
                    </w:rPr>
                    <w:t>273.35</w:t>
                  </w:r>
                  <w:r>
                    <w:rPr>
                      <w:rFonts w:hint="eastAsia"/>
                      <w:color w:val="auto"/>
                      <w:sz w:val="21"/>
                      <w:szCs w:val="21"/>
                      <w:u w:val="none" w:color="auto"/>
                      <w:vertAlign w:val="baseline"/>
                      <w:lang w:eastAsia="zh-CN"/>
                    </w:rPr>
                    <w:t>t/a</w:t>
                  </w:r>
                </w:p>
              </w:tc>
              <w:tc>
                <w:tcPr>
                  <w:tcW w:w="551"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固态</w:t>
                  </w:r>
                </w:p>
              </w:tc>
              <w:tc>
                <w:tcPr>
                  <w:tcW w:w="1067" w:type="pct"/>
                  <w:shd w:val="clear" w:color="auto" w:fill="auto"/>
                  <w:noWrap w:val="0"/>
                  <w:vAlign w:val="center"/>
                </w:tcPr>
                <w:p>
                  <w:pPr>
                    <w:jc w:val="center"/>
                    <w:rPr>
                      <w:rFonts w:hint="default"/>
                      <w:color w:val="auto"/>
                      <w:sz w:val="21"/>
                      <w:szCs w:val="21"/>
                      <w:u w:val="none" w:color="auto"/>
                      <w:vertAlign w:val="baseline"/>
                      <w:lang w:val="en-US" w:eastAsia="zh-CN"/>
                    </w:rPr>
                  </w:pPr>
                  <w:r>
                    <w:rPr>
                      <w:rFonts w:hint="eastAsia"/>
                      <w:color w:val="auto"/>
                      <w:sz w:val="21"/>
                      <w:szCs w:val="21"/>
                      <w:u w:val="none" w:color="auto"/>
                      <w:vertAlign w:val="baseline"/>
                      <w:lang w:eastAsia="zh-CN"/>
                    </w:rPr>
                    <w:t>袋装</w:t>
                  </w:r>
                </w:p>
              </w:tc>
              <w:tc>
                <w:tcPr>
                  <w:tcW w:w="723" w:type="pct"/>
                  <w:shd w:val="clear" w:color="auto" w:fill="auto"/>
                  <w:noWrap w:val="0"/>
                  <w:vAlign w:val="center"/>
                </w:tcPr>
                <w:p>
                  <w:pPr>
                    <w:jc w:val="center"/>
                    <w:rPr>
                      <w:rFonts w:hint="eastAsia"/>
                      <w:color w:val="auto"/>
                      <w:sz w:val="21"/>
                      <w:szCs w:val="21"/>
                      <w:u w:val="none" w:color="auto"/>
                      <w:vertAlign w:val="baseline"/>
                      <w:lang w:val="en-US" w:eastAsia="en-US"/>
                    </w:rPr>
                  </w:pPr>
                  <w:r>
                    <w:rPr>
                      <w:rFonts w:hint="eastAsia"/>
                      <w:color w:val="auto"/>
                      <w:sz w:val="21"/>
                      <w:szCs w:val="21"/>
                      <w:u w:val="none" w:color="auto"/>
                      <w:vertAlign w:val="baseline"/>
                      <w:lang w:eastAsia="zh-CN"/>
                    </w:rPr>
                    <w:t>7 吨</w:t>
                  </w:r>
                </w:p>
              </w:tc>
            </w:tr>
          </w:tbl>
          <w:p>
            <w:pPr>
              <w:pStyle w:val="15"/>
              <w:adjustRightInd w:val="0"/>
              <w:spacing w:before="0" w:after="0" w:line="360" w:lineRule="auto"/>
              <w:ind w:right="0"/>
              <w:jc w:val="both"/>
              <w:rPr>
                <w:rFonts w:hint="eastAsia" w:eastAsia="仿宋_GB2312" w:cs="Times New Roman"/>
                <w:b/>
                <w:bCs/>
                <w:color w:val="auto"/>
                <w:kern w:val="2"/>
                <w:sz w:val="24"/>
                <w:szCs w:val="24"/>
                <w:highlight w:val="none"/>
                <w:lang w:val="en-US" w:eastAsia="zh-CN" w:bidi="ar-SA"/>
              </w:rPr>
            </w:pPr>
            <w:r>
              <w:rPr>
                <w:rFonts w:hint="eastAsia" w:eastAsia="仿宋_GB2312" w:cs="Times New Roman"/>
                <w:b/>
                <w:bCs/>
                <w:color w:val="auto"/>
                <w:kern w:val="2"/>
                <w:sz w:val="24"/>
                <w:szCs w:val="24"/>
                <w:highlight w:val="none"/>
                <w:lang w:val="en-US" w:eastAsia="zh-CN" w:bidi="ar-SA"/>
              </w:rPr>
              <w:t>5、工程参数及占地面积</w:t>
            </w:r>
          </w:p>
          <w:p>
            <w:pPr>
              <w:pStyle w:val="15"/>
              <w:adjustRightInd w:val="0"/>
              <w:spacing w:before="0" w:after="0" w:line="360" w:lineRule="auto"/>
              <w:ind w:right="0" w:firstLine="481" w:firstLineChars="200"/>
              <w:jc w:val="both"/>
              <w:rPr>
                <w:rFonts w:hint="eastAsia" w:ascii="Times New Roman" w:hAnsi="Times New Roman" w:eastAsia="仿宋_GB2312" w:cs="Times New Roman"/>
                <w:b/>
                <w:bCs/>
                <w:color w:val="auto"/>
                <w:sz w:val="24"/>
                <w:szCs w:val="24"/>
                <w:highlight w:val="none"/>
                <w:lang w:eastAsia="zh-CN"/>
              </w:rPr>
            </w:pPr>
            <w:r>
              <w:rPr>
                <w:rFonts w:hint="eastAsia" w:eastAsia="仿宋_GB2312" w:cs="Times New Roman"/>
                <w:b/>
                <w:bCs/>
                <w:color w:val="auto"/>
                <w:sz w:val="24"/>
                <w:szCs w:val="24"/>
                <w:highlight w:val="none"/>
                <w:lang w:val="en-US" w:eastAsia="zh-CN"/>
              </w:rPr>
              <w:t>出菇棚建筑工程</w:t>
            </w:r>
            <w:r>
              <w:rPr>
                <w:rFonts w:hint="default" w:ascii="Times New Roman" w:hAnsi="Times New Roman" w:eastAsia="仿宋_GB2312" w:cs="Times New Roman"/>
                <w:b/>
                <w:bCs/>
                <w:color w:val="auto"/>
                <w:sz w:val="24"/>
                <w:szCs w:val="24"/>
                <w:highlight w:val="none"/>
              </w:rPr>
              <w:t>设计</w:t>
            </w:r>
            <w:r>
              <w:rPr>
                <w:rFonts w:hint="eastAsia" w:ascii="Times New Roman" w:hAnsi="Times New Roman" w:eastAsia="仿宋_GB2312" w:cs="Times New Roman"/>
                <w:b/>
                <w:bCs/>
                <w:color w:val="auto"/>
                <w:sz w:val="24"/>
                <w:szCs w:val="24"/>
                <w:highlight w:val="none"/>
                <w:lang w:eastAsia="zh-CN"/>
              </w:rPr>
              <w:t>：</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建筑面积：368平方米；建筑形式：双拱建筑；建筑高度：外拱高 4.2 米，内拱高3.0米；建筑长度：大棚外拱长40.00米、内拱长38.8米；建筑宽度：大棚外拱宽9.2米，内拱宽8.0米</w:t>
            </w:r>
            <w:r>
              <w:rPr>
                <w:rFonts w:hint="eastAsia" w:eastAsia="仿宋_GB2312" w:cs="Times New Roman"/>
                <w:color w:val="auto"/>
                <w:kern w:val="2"/>
                <w:sz w:val="24"/>
                <w:szCs w:val="24"/>
                <w:highlight w:val="none"/>
                <w:lang w:val="en-US" w:eastAsia="zh-CN" w:bidi="ar-SA"/>
              </w:rPr>
              <w:t>；</w:t>
            </w:r>
            <w:r>
              <w:rPr>
                <w:rFonts w:hint="default" w:ascii="Times New Roman" w:hAnsi="Times New Roman" w:eastAsia="仿宋_GB2312" w:cs="Times New Roman"/>
                <w:color w:val="auto"/>
                <w:kern w:val="2"/>
                <w:sz w:val="24"/>
                <w:szCs w:val="24"/>
                <w:highlight w:val="none"/>
                <w:lang w:val="en-US" w:eastAsia="zh-CN" w:bidi="ar-SA"/>
              </w:rPr>
              <w:t>结构类型：该工程结构采用轻型钢架结构体系；所有结构杆件均采用国标镀锌材质；温室抗震：主体钢构设计合理使用年限为15年，抗震设防烈度为8度（0.2g），地震分组为第三组；建筑抗震设防类别为丙类，结构安全等级为二级；场地类别为Ⅱ类；地面粗糙度B类。</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整体布局：出菇棚平面呈矩形布置，总面积368 平方米，大棚外拱长40.00米、内拱长38.8米；外拱宽9.2米，内拱宽8.0米；跨度方向柱距主要为4800mm，端部设有1200mm，形成规整的种植空间。</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功能分区：核心区域为香菇种植区，沿平面合理布置种植架；设置 1200</w:t>
            </w:r>
            <w:r>
              <w:rPr>
                <w:rFonts w:hint="default" w:ascii="Arial" w:hAnsi="Arial" w:eastAsia="仿宋_GB2312" w:cs="Arial"/>
                <w:color w:val="auto"/>
                <w:kern w:val="2"/>
                <w:sz w:val="24"/>
                <w:szCs w:val="24"/>
                <w:highlight w:val="none"/>
                <w:lang w:val="en-US" w:eastAsia="zh-CN" w:bidi="ar-SA"/>
              </w:rPr>
              <w:t>×</w:t>
            </w:r>
            <w:r>
              <w:rPr>
                <w:rFonts w:hint="default" w:ascii="Times New Roman" w:hAnsi="Times New Roman" w:eastAsia="仿宋_GB2312" w:cs="Times New Roman"/>
                <w:color w:val="auto"/>
                <w:kern w:val="2"/>
                <w:sz w:val="24"/>
                <w:szCs w:val="24"/>
                <w:highlight w:val="none"/>
                <w:lang w:val="en-US" w:eastAsia="zh-CN" w:bidi="ar-SA"/>
              </w:rPr>
              <w:t>2000mm规格的出入口，满足人员通行与物资运输需求。</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作业通道：出菇棚单侧设置1400mm 红砖地面作业通道，平整坚实，便于作业与清洁。</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1" w:firstLineChars="200"/>
              <w:textAlignment w:val="auto"/>
              <w:rPr>
                <w:rFonts w:hint="default" w:ascii="Times New Roman" w:hAnsi="Times New Roman" w:eastAsia="仿宋_GB2312" w:cs="Times New Roman"/>
                <w:b/>
                <w:bCs/>
                <w:color w:val="auto"/>
                <w:kern w:val="2"/>
                <w:sz w:val="24"/>
                <w:szCs w:val="24"/>
                <w:highlight w:val="none"/>
                <w:lang w:val="en-US" w:eastAsia="zh-CN" w:bidi="ar-SA"/>
              </w:rPr>
            </w:pPr>
            <w:r>
              <w:rPr>
                <w:rFonts w:hint="default" w:ascii="Times New Roman" w:hAnsi="Times New Roman" w:eastAsia="仿宋_GB2312" w:cs="Times New Roman"/>
                <w:b/>
                <w:bCs/>
                <w:color w:val="auto"/>
                <w:kern w:val="2"/>
                <w:sz w:val="24"/>
                <w:szCs w:val="24"/>
                <w:highlight w:val="none"/>
                <w:lang w:val="en-US" w:eastAsia="zh-CN" w:bidi="ar-SA"/>
              </w:rPr>
              <w:t>养菌棚建筑工程设计：</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建设面积：该温棚占地面积为768.00平方米/栋，共计栋。建筑高度：香菇大棚脊高：5.00m；单层建筑；建筑长度：大棚长度64.00m；建筑宽度：大棚宽度 12.00m；结构类型：该工程结构采用轻型钢架结构体系；所有结构杆件均采用国标镀锌材质；温室抗震主体钢构设计合理使用年限为15年，抗震设防烈度为8度（0.2g），地震分组为第三组；建筑抗震设防类别为丙类，结构安全等级为二级；场地类别为Ⅱ类，地面粗糙度为B类。温室抗震主体钢构设计合理使用年限为15年；抗震设防烈度为8度（0.2g），</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平面形式为矩形，长64米，宽12米；立柱间距3.6米，轴线网格清晰，便于种植架布置与物流组织。地面采用0.9米宽红砖铺装，防滑、透气且便于清洁。内部设置种植架系统，平面布局符合菌袋摆放、采收及通风需求。功能分区包括菌菇生长区、操作通道、设备摆放区等。</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1" w:firstLineChars="200"/>
              <w:textAlignment w:val="auto"/>
              <w:rPr>
                <w:rFonts w:hint="default" w:ascii="Times New Roman" w:hAnsi="Times New Roman" w:eastAsia="仿宋_GB2312" w:cs="Times New Roman"/>
                <w:b/>
                <w:bCs/>
                <w:color w:val="auto"/>
                <w:kern w:val="2"/>
                <w:sz w:val="24"/>
                <w:szCs w:val="24"/>
                <w:highlight w:val="none"/>
                <w:lang w:val="en-US" w:eastAsia="zh-CN" w:bidi="ar-SA"/>
              </w:rPr>
            </w:pPr>
            <w:r>
              <w:rPr>
                <w:rFonts w:hint="default" w:ascii="Times New Roman" w:hAnsi="Times New Roman" w:eastAsia="仿宋_GB2312" w:cs="Times New Roman"/>
                <w:b/>
                <w:bCs/>
                <w:color w:val="auto"/>
                <w:kern w:val="2"/>
                <w:sz w:val="24"/>
                <w:szCs w:val="24"/>
                <w:highlight w:val="none"/>
                <w:lang w:val="en-US" w:eastAsia="zh-CN" w:bidi="ar-SA"/>
              </w:rPr>
              <w:t>冷库及分拣车间建筑工程设计</w:t>
            </w:r>
            <w:r>
              <w:rPr>
                <w:rFonts w:hint="eastAsia" w:eastAsia="仿宋_GB2312" w:cs="Times New Roman"/>
                <w:b/>
                <w:bCs/>
                <w:color w:val="auto"/>
                <w:kern w:val="2"/>
                <w:sz w:val="24"/>
                <w:szCs w:val="24"/>
                <w:highlight w:val="none"/>
                <w:lang w:val="en-US" w:eastAsia="zh-CN" w:bidi="ar-SA"/>
              </w:rPr>
              <w:t>：</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Calibri" w:hAnsi="Calibri" w:eastAsia="仿宋_GB2312" w:cs="Calibri"/>
                <w:color w:val="auto"/>
                <w:kern w:val="2"/>
                <w:sz w:val="24"/>
                <w:szCs w:val="24"/>
                <w:highlight w:val="none"/>
                <w:lang w:val="en-US" w:eastAsia="zh-CN" w:bidi="ar-SA"/>
              </w:rPr>
            </w:pPr>
            <w:r>
              <w:rPr>
                <w:rFonts w:hint="default" w:ascii="Calibri" w:hAnsi="Calibri" w:eastAsia="仿宋_GB2312" w:cs="Calibri"/>
                <w:color w:val="auto"/>
                <w:kern w:val="2"/>
                <w:sz w:val="24"/>
                <w:szCs w:val="24"/>
                <w:highlight w:val="none"/>
                <w:lang w:val="en-US" w:eastAsia="zh-CN" w:bidi="ar-SA"/>
              </w:rPr>
              <w:t>平面尺寸：总建筑面积271.31㎡，长42.48米，宽16.98米。功能分区设计：穿堂作为项目核心交通走廊，连接主入口与各库房区域，满足物料运输、人员集散的通行需求。库房功能区位于，通过240砖砌防火墙（耐火极限≥3.0h）分隔为5个独立库房；每个库房开间约6000mm、进深约1800mm，适配存储功能，同时防火墙保障区域防火安全性。分拣区长16.98米，宽12米，总面积约203.76平方米。主入口：设置采用M4545规格门（大尺寸适配大型物料装卸）；</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Calibri" w:hAnsi="Calibri" w:eastAsia="仿宋_GB2312" w:cs="Calibri"/>
                <w:color w:val="auto"/>
                <w:kern w:val="2"/>
                <w:sz w:val="24"/>
                <w:szCs w:val="24"/>
                <w:highlight w:val="none"/>
                <w:lang w:val="en-US" w:eastAsia="zh-CN" w:bidi="ar-SA"/>
              </w:rPr>
            </w:pPr>
            <w:r>
              <w:rPr>
                <w:rFonts w:hint="default" w:ascii="Calibri" w:hAnsi="Calibri" w:eastAsia="仿宋_GB2312" w:cs="Calibri"/>
                <w:color w:val="auto"/>
                <w:kern w:val="2"/>
                <w:sz w:val="24"/>
                <w:szCs w:val="24"/>
                <w:highlight w:val="none"/>
                <w:lang w:val="en-US" w:eastAsia="zh-CN" w:bidi="ar-SA"/>
              </w:rPr>
              <w:t>库房出入口：每个库房设M2430规格门，与公共通行区直接连通，实现各库房独立进出，提升物流效率。</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Calibri" w:hAnsi="Calibri" w:eastAsia="仿宋_GB2312" w:cs="Calibri"/>
                <w:color w:val="auto"/>
                <w:kern w:val="2"/>
                <w:sz w:val="24"/>
                <w:szCs w:val="24"/>
                <w:highlight w:val="none"/>
                <w:lang w:val="en-US" w:eastAsia="zh-CN" w:bidi="ar-SA"/>
              </w:rPr>
            </w:pPr>
            <w:r>
              <w:rPr>
                <w:rFonts w:hint="default" w:ascii="Calibri" w:hAnsi="Calibri" w:eastAsia="仿宋_GB2312" w:cs="Calibri"/>
                <w:color w:val="auto"/>
                <w:kern w:val="2"/>
                <w:sz w:val="24"/>
                <w:szCs w:val="24"/>
                <w:highlight w:val="none"/>
                <w:lang w:val="en-US" w:eastAsia="zh-CN" w:bidi="ar-SA"/>
              </w:rPr>
              <w:t>防火构造：240砖砌防火墙（耐火极限≥3.0h），符合仓储类项目防火规范；地面：采用100厚混凝土地面，满足库房与公共区的重载使用需求</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1" w:firstLineChars="200"/>
              <w:textAlignment w:val="auto"/>
              <w:rPr>
                <w:rFonts w:hint="default" w:ascii="Calibri" w:hAnsi="Calibri" w:eastAsia="仿宋_GB2312" w:cs="Calibri"/>
                <w:b/>
                <w:bCs/>
                <w:color w:val="auto"/>
                <w:kern w:val="2"/>
                <w:sz w:val="24"/>
                <w:szCs w:val="24"/>
                <w:highlight w:val="none"/>
                <w:lang w:val="en-US" w:eastAsia="zh-CN" w:bidi="ar-SA"/>
              </w:rPr>
            </w:pPr>
            <w:r>
              <w:rPr>
                <w:rFonts w:hint="default" w:ascii="Calibri" w:hAnsi="Calibri" w:eastAsia="仿宋_GB2312" w:cs="Calibri"/>
                <w:b/>
                <w:bCs/>
                <w:color w:val="auto"/>
                <w:kern w:val="2"/>
                <w:sz w:val="24"/>
                <w:szCs w:val="24"/>
                <w:highlight w:val="none"/>
                <w:lang w:val="en-US" w:eastAsia="zh-CN" w:bidi="ar-SA"/>
              </w:rPr>
              <w:t>菌棒加工车间建筑工程</w:t>
            </w:r>
            <w:r>
              <w:rPr>
                <w:rFonts w:hint="eastAsia" w:ascii="Calibri" w:hAnsi="Calibri" w:eastAsia="仿宋_GB2312" w:cs="Calibri"/>
                <w:b/>
                <w:bCs/>
                <w:color w:val="auto"/>
                <w:kern w:val="2"/>
                <w:sz w:val="24"/>
                <w:szCs w:val="24"/>
                <w:highlight w:val="none"/>
                <w:lang w:val="en-US" w:eastAsia="zh-CN" w:bidi="ar-SA"/>
              </w:rPr>
              <w:t>设计：</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eastAsia" w:eastAsia="仿宋_GB2312" w:cs="Times New Roman"/>
                <w:b w:val="0"/>
                <w:bCs w:val="0"/>
                <w:color w:val="auto"/>
                <w:sz w:val="24"/>
                <w:szCs w:val="24"/>
                <w:highlight w:val="none"/>
                <w:lang w:val="en-US" w:eastAsia="zh-CN"/>
              </w:rPr>
            </w:pPr>
            <w:r>
              <w:rPr>
                <w:rFonts w:hint="eastAsia" w:eastAsia="仿宋_GB2312" w:cs="Times New Roman"/>
                <w:b w:val="0"/>
                <w:bCs w:val="0"/>
                <w:color w:val="auto"/>
                <w:sz w:val="24"/>
                <w:szCs w:val="24"/>
                <w:highlight w:val="none"/>
                <w:lang w:val="en-US" w:eastAsia="zh-CN"/>
              </w:rPr>
              <w:t>建筑层数：地上一层，建筑高度：8.2m，建筑面积：3300.71㎡，结构形式：门式钢架结构，基础类型：柱下独立基础，抗震设防烈度：8度，抗震设防类别：标准设防类，设计使用年限：50年，火灾危险性类别为：丙类，建筑耐火等级：二级，屋面防水等级：二级。建筑功能：菌菇培育。</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eastAsia" w:eastAsia="仿宋_GB2312" w:cs="Times New Roman"/>
                <w:b w:val="0"/>
                <w:bCs w:val="0"/>
                <w:color w:val="auto"/>
                <w:sz w:val="24"/>
                <w:szCs w:val="24"/>
                <w:highlight w:val="none"/>
                <w:lang w:val="en-US" w:eastAsia="zh-CN"/>
              </w:rPr>
            </w:pPr>
            <w:r>
              <w:rPr>
                <w:rFonts w:hint="eastAsia" w:eastAsia="仿宋_GB2312" w:cs="Times New Roman"/>
                <w:b w:val="0"/>
                <w:bCs w:val="0"/>
                <w:color w:val="auto"/>
                <w:sz w:val="24"/>
                <w:szCs w:val="24"/>
                <w:highlight w:val="none"/>
                <w:lang w:val="en-US" w:eastAsia="zh-CN"/>
              </w:rPr>
              <w:t>菌棒生产区（中部及南侧）：配置原料预处理区、搅拌混合区、装袋灭菌区及接种培养区，形成连贯的菌棒制作流水线。预处理区位于南侧原料入口附近，方便木屑、麦麸等原料卸入后直接进行粉碎；搅拌混合区紧邻预处理区，通过自动化搅拌设备将各类培养料按比例混合均匀；装袋灭菌区设置高温灭菌锅及自动装袋机，确保菌棒灭菌彻底；接种培养区位于生产区末端，配备洁净接种台及恒温培养架，为菌丝生长提供适宜环境。</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eastAsia" w:eastAsia="仿宋_GB2312" w:cs="Times New Roman"/>
                <w:b w:val="0"/>
                <w:bCs w:val="0"/>
                <w:color w:val="auto"/>
                <w:sz w:val="24"/>
                <w:szCs w:val="24"/>
                <w:highlight w:val="none"/>
                <w:lang w:val="en-US" w:eastAsia="zh-CN"/>
              </w:rPr>
            </w:pPr>
            <w:r>
              <w:rPr>
                <w:rFonts w:hint="eastAsia" w:eastAsia="仿宋_GB2312" w:cs="Times New Roman"/>
                <w:b w:val="0"/>
                <w:bCs w:val="0"/>
                <w:color w:val="auto"/>
                <w:sz w:val="24"/>
                <w:szCs w:val="24"/>
                <w:highlight w:val="none"/>
                <w:lang w:val="en-US" w:eastAsia="zh-CN"/>
              </w:rPr>
              <w:t xml:space="preserve">仓储辅助区（北侧）：包含原料仓库与成品菌棒暂存库，原料仓库靠近生产区入口，采用高架货架设计提高空间利用率，存放预处理后的培养料；成品暂存库紧邻接种培养区，便于培养成熟的菌棒短期存放，等待外运至出菇大棚。两区均设置独立出入口，避免原料与成品交叉污染。 </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eastAsia" w:eastAsia="仿宋_GB2312" w:cs="Times New Roman"/>
                <w:b w:val="0"/>
                <w:bCs w:val="0"/>
                <w:color w:val="auto"/>
                <w:sz w:val="24"/>
                <w:szCs w:val="24"/>
                <w:highlight w:val="none"/>
                <w:lang w:val="en-US" w:eastAsia="zh-CN"/>
              </w:rPr>
            </w:pPr>
            <w:r>
              <w:rPr>
                <w:rFonts w:hint="eastAsia" w:eastAsia="仿宋_GB2312" w:cs="Times New Roman"/>
                <w:b w:val="0"/>
                <w:bCs w:val="0"/>
                <w:color w:val="auto"/>
                <w:sz w:val="24"/>
                <w:szCs w:val="24"/>
                <w:highlight w:val="none"/>
                <w:lang w:val="en-US" w:eastAsia="zh-CN"/>
              </w:rPr>
              <w:t>管理与配套区（东侧）：集中布置检验室、办公室及员工生活区。检验室配备微生物检测设备，对菌棒质量进行抽样检测；办公室与生产区通过玻璃隔断分隔，便于管理人员实时监控生产流程；员工生活区包含更衣室、休息室及卫生间，满足人员日常需求，且与生产区保持合理距离，减少对洁净环境的影响。</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1" w:firstLineChars="200"/>
              <w:textAlignment w:val="auto"/>
              <w:rPr>
                <w:rFonts w:hint="default" w:ascii="Times New Roman" w:hAnsi="Times New Roman"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采摘棚建筑工程设计：</w:t>
            </w:r>
          </w:p>
          <w:p>
            <w:pPr>
              <w:pStyle w:val="15"/>
              <w:keepNext w:val="0"/>
              <w:keepLines w:val="0"/>
              <w:pageBreakBefore w:val="0"/>
              <w:kinsoku/>
              <w:wordWrap/>
              <w:overflowPunct/>
              <w:topLinePunct w:val="0"/>
              <w:autoSpaceDE/>
              <w:autoSpaceDN/>
              <w:bidi w:val="0"/>
              <w:snapToGrid w:val="0"/>
              <w:spacing w:before="0" w:after="0" w:line="360" w:lineRule="auto"/>
              <w:ind w:left="0" w:right="0" w:firstLine="480" w:firstLineChars="200"/>
              <w:jc w:val="both"/>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建设面积：该日光温室占地面积为960.00平方米/栋；建筑高度：后墙高度3.6m；大棚脊高5.0m；单层建筑；建筑长度：大棚长度80.0m；建筑宽度：大棚宽度12.0m；结构类型：该工程结构采用轻型钢架结构体系；所有结构杆件均采用国标镀锌材质；温室抗震：主体钢构设计合理使用年限为15年；抗震设防烈度为8度（0.2g）；地震分组为第三组；建筑抗震设防类别为丙类，结构安全等级为二级；场地类别为Ⅱ类，地基基础设计等级为丙级；地面粗糙度B类采摘大棚长80米，宽12米，总建筑面积960.00㎡，耳房单独建筑面积9.61㎡。采用4800mm等距柱网，保证结构规整；大棚内部北侧设置800mm宽作业通道（为100mm厚C25混凝土路面），宽度满足游客通行与采摘操作需求。地面：“100mm厚C25混凝土”+“1:1水泥砂浆找平”，保证地面耐用、易清洁。</w:t>
            </w:r>
          </w:p>
          <w:p>
            <w:pPr>
              <w:pStyle w:val="101"/>
              <w:keepNext w:val="0"/>
              <w:keepLines w:val="0"/>
              <w:pageBreakBefore w:val="0"/>
              <w:widowControl w:val="0"/>
              <w:kinsoku/>
              <w:wordWrap/>
              <w:overflowPunct/>
              <w:topLinePunct w:val="0"/>
              <w:autoSpaceDE/>
              <w:autoSpaceDN/>
              <w:bidi w:val="0"/>
              <w:adjustRightInd w:val="0"/>
              <w:snapToGrid w:val="0"/>
              <w:spacing w:line="360" w:lineRule="auto"/>
              <w:ind w:left="0" w:right="0" w:firstLine="481" w:firstLineChars="200"/>
              <w:textAlignment w:val="auto"/>
              <w:rPr>
                <w:rFonts w:hint="default" w:eastAsia="仿宋_GB2312" w:cs="Times New Roman"/>
                <w:b/>
                <w:bCs/>
                <w:color w:val="auto"/>
                <w:sz w:val="24"/>
                <w:szCs w:val="24"/>
                <w:highlight w:val="none"/>
                <w:lang w:val="en-US" w:eastAsia="zh-CN"/>
              </w:rPr>
            </w:pPr>
            <w:r>
              <w:rPr>
                <w:rFonts w:hint="default" w:eastAsia="仿宋_GB2312" w:cs="Times New Roman"/>
                <w:b/>
                <w:bCs/>
                <w:color w:val="auto"/>
                <w:sz w:val="24"/>
                <w:szCs w:val="24"/>
                <w:highlight w:val="none"/>
                <w:lang w:val="en-US" w:eastAsia="zh-CN"/>
              </w:rPr>
              <w:t>烘干车间建筑工程设计</w:t>
            </w:r>
            <w:r>
              <w:rPr>
                <w:rFonts w:hint="eastAsia" w:eastAsia="仿宋_GB2312" w:cs="Times New Roman"/>
                <w:b/>
                <w:bCs/>
                <w:color w:val="auto"/>
                <w:sz w:val="24"/>
                <w:szCs w:val="24"/>
                <w:highlight w:val="none"/>
                <w:lang w:val="en-US" w:eastAsia="zh-CN"/>
              </w:rPr>
              <w:t>：</w:t>
            </w:r>
          </w:p>
          <w:p>
            <w:pPr>
              <w:pStyle w:val="15"/>
              <w:keepNext w:val="0"/>
              <w:keepLines w:val="0"/>
              <w:pageBreakBefore w:val="0"/>
              <w:kinsoku/>
              <w:wordWrap/>
              <w:overflowPunct/>
              <w:topLinePunct w:val="0"/>
              <w:autoSpaceDE/>
              <w:autoSpaceDN/>
              <w:bidi w:val="0"/>
              <w:snapToGrid w:val="0"/>
              <w:spacing w:before="0" w:after="0" w:line="360" w:lineRule="auto"/>
              <w:ind w:left="0" w:right="0" w:firstLine="480" w:firstLineChars="200"/>
              <w:jc w:val="both"/>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总面积868.47m²；占地面积 868.47m²。本工程层数：地上1层，总高度为：47m（室外地坪至坡屋面一半高度）。功能：生产车间。建筑抗震设防类别：一般设防类；抗震设防烈度：7 度；主要结构形式：钢框架结构；工程设计使用年限：50 年。1.本工程火灾危险性由工艺专业确定为丁类生产装置。</w:t>
            </w:r>
          </w:p>
          <w:p>
            <w:pPr>
              <w:pStyle w:val="15"/>
              <w:keepNext w:val="0"/>
              <w:keepLines w:val="0"/>
              <w:pageBreakBefore w:val="0"/>
              <w:kinsoku/>
              <w:wordWrap/>
              <w:overflowPunct/>
              <w:topLinePunct w:val="0"/>
              <w:autoSpaceDE/>
              <w:autoSpaceDN/>
              <w:bidi w:val="0"/>
              <w:snapToGrid w:val="0"/>
              <w:spacing w:before="0" w:after="0" w:line="360" w:lineRule="auto"/>
              <w:ind w:left="0" w:right="0" w:firstLine="480" w:firstLineChars="200"/>
              <w:jc w:val="both"/>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建筑耐火等级为二级，本工程四周无</w:t>
            </w:r>
            <w:r>
              <w:rPr>
                <w:rFonts w:hint="eastAsia" w:eastAsia="仿宋_GB2312" w:cs="Times New Roman"/>
                <w:color w:val="auto"/>
                <w:kern w:val="2"/>
                <w:sz w:val="24"/>
                <w:szCs w:val="24"/>
                <w:highlight w:val="none"/>
                <w:lang w:val="en-US" w:eastAsia="zh-CN" w:bidi="ar-SA"/>
              </w:rPr>
              <w:t>围护结构</w:t>
            </w:r>
            <w:r>
              <w:rPr>
                <w:rFonts w:hint="default" w:ascii="Times New Roman" w:hAnsi="Times New Roman" w:eastAsia="仿宋_GB2312" w:cs="Times New Roman"/>
                <w:color w:val="auto"/>
                <w:kern w:val="2"/>
                <w:sz w:val="24"/>
                <w:szCs w:val="24"/>
                <w:highlight w:val="none"/>
                <w:lang w:val="en-US" w:eastAsia="zh-CN" w:bidi="ar-SA"/>
              </w:rPr>
              <w:t xml:space="preserve">，疏散满足规范要求。 </w:t>
            </w:r>
          </w:p>
          <w:p>
            <w:pPr>
              <w:pStyle w:val="15"/>
              <w:keepNext w:val="0"/>
              <w:keepLines w:val="0"/>
              <w:pageBreakBefore w:val="0"/>
              <w:kinsoku/>
              <w:wordWrap/>
              <w:overflowPunct/>
              <w:topLinePunct w:val="0"/>
              <w:autoSpaceDE/>
              <w:autoSpaceDN/>
              <w:bidi w:val="0"/>
              <w:snapToGrid w:val="0"/>
              <w:spacing w:before="0" w:after="0" w:line="360" w:lineRule="auto"/>
              <w:ind w:left="0" w:right="0" w:firstLine="480" w:firstLineChars="200"/>
              <w:jc w:val="both"/>
              <w:textAlignment w:val="auto"/>
              <w:rPr>
                <w:rFonts w:hint="default" w:ascii="Times New Roman" w:hAnsi="Times New Roman" w:eastAsia="仿宋_GB2312" w:cs="Times New Roman"/>
                <w:color w:val="auto"/>
                <w:kern w:val="2"/>
                <w:sz w:val="24"/>
                <w:szCs w:val="24"/>
                <w:highlight w:val="none"/>
                <w:lang w:val="en-US" w:eastAsia="zh-CN" w:bidi="ar-SA"/>
              </w:rPr>
            </w:pPr>
          </w:p>
          <w:p>
            <w:pPr>
              <w:keepNext w:val="0"/>
              <w:keepLines w:val="0"/>
              <w:pageBreakBefore w:val="0"/>
              <w:widowControl/>
              <w:kinsoku/>
              <w:wordWrap/>
              <w:overflowPunct/>
              <w:topLinePunct w:val="0"/>
              <w:autoSpaceDE w:val="0"/>
              <w:autoSpaceDN w:val="0"/>
              <w:bidi w:val="0"/>
              <w:adjustRightInd w:val="0"/>
              <w:snapToGrid w:val="0"/>
              <w:spacing w:line="336" w:lineRule="auto"/>
              <w:jc w:val="both"/>
              <w:textAlignment w:val="bottom"/>
              <w:rPr>
                <w:rFonts w:hint="default" w:ascii="Times New Roman" w:hAnsi="Times New Roman" w:eastAsia="仿宋_GB2312" w:cs="Times New Roman"/>
                <w:color w:val="auto"/>
                <w:kern w:val="0"/>
                <w:sz w:val="24"/>
                <w:szCs w:val="24"/>
                <w:highlight w:val="none"/>
                <w:shd w:val="clear" w:color="auto" w:fill="auto"/>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865" w:hRule="atLeast"/>
          <w:jc w:val="center"/>
        </w:trPr>
        <w:tc>
          <w:tcPr>
            <w:tcW w:w="465" w:type="dxa"/>
            <w:tcBorders>
              <w:tl2br w:val="nil"/>
              <w:tr2bl w:val="nil"/>
            </w:tcBorders>
            <w:vAlign w:val="center"/>
          </w:tcPr>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r>
              <w:rPr>
                <w:rFonts w:hint="default" w:ascii="Times New Roman" w:hAnsi="Times New Roman" w:eastAsia="仿宋_GB2312" w:cs="Times New Roman"/>
                <w:b/>
                <w:bCs/>
                <w:color w:val="auto"/>
                <w:szCs w:val="24"/>
                <w:highlight w:val="none"/>
                <w:lang w:eastAsia="zh-CN"/>
              </w:rPr>
              <w:t>总平面及现场布置</w:t>
            </w: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tc>
        <w:tc>
          <w:tcPr>
            <w:tcW w:w="8736" w:type="dxa"/>
            <w:gridSpan w:val="2"/>
            <w:tcBorders>
              <w:tl2br w:val="nil"/>
              <w:tr2bl w:val="nil"/>
            </w:tcBorders>
          </w:tcPr>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eastAsia"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1.黄花乡沙塘村菌菇产业园区扩容提升建设工程总平面设计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场地位于泾源县黄花乡沙塘村，现状用地为耕地，自然环境以农田生态为主。市政基础设施配套完善，已规划给水、排水、电力外网系统，道路包含硬化处理路段，可满足产业运输及作业需求。四邻无既有大型建筑物及构筑物，规划范围内以产业设施为主。</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eastAsia"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30座出菇棚集中布置区域，配套建设给排水管网、电力设施、蓄水池、阀门井等基础设施区域。30座出菇棚采用行列式整齐布置，单个棚体面积368㎡（长40.00米、宽9.2米），保证棚间合理间距，满足通风、消防及作业需求，形成规整有序的生产空间。建筑空间与周边农田生态环境相协调，避免大规模改造地形，保留自然地貌肌理，使产业设施融入乡村景观</w:t>
            </w:r>
            <w:r>
              <w:rPr>
                <w:rFonts w:hint="eastAsia" w:eastAsia="仿宋_GB2312" w:cs="Times New Roman"/>
                <w:color w:val="auto"/>
                <w:sz w:val="24"/>
                <w:szCs w:val="24"/>
                <w:highlight w:val="none"/>
                <w:lang w:val="en-US" w:eastAsia="zh-CN"/>
              </w:rPr>
              <w:t>。</w:t>
            </w:r>
            <w:r>
              <w:rPr>
                <w:rFonts w:hint="default" w:ascii="Times New Roman" w:hAnsi="Times New Roman" w:eastAsia="仿宋_GB2312" w:cs="Times New Roman"/>
                <w:color w:val="auto"/>
                <w:sz w:val="24"/>
                <w:szCs w:val="24"/>
                <w:highlight w:val="none"/>
              </w:rPr>
              <w:t>本工程平面布置图见</w:t>
            </w:r>
            <w:r>
              <w:rPr>
                <w:rFonts w:hint="eastAsia" w:eastAsia="仿宋_GB2312" w:cs="Times New Roman"/>
                <w:color w:val="auto"/>
                <w:sz w:val="24"/>
                <w:szCs w:val="24"/>
                <w:highlight w:val="none"/>
                <w:lang w:val="en-US" w:eastAsia="zh-CN"/>
              </w:rPr>
              <w:t>附图7</w:t>
            </w:r>
            <w:r>
              <w:rPr>
                <w:rFonts w:hint="default" w:ascii="Times New Roman" w:hAnsi="Times New Roman" w:eastAsia="仿宋_GB2312" w:cs="Times New Roman"/>
                <w:color w:val="auto"/>
                <w:sz w:val="24"/>
                <w:szCs w:val="24"/>
                <w:highlight w:val="none"/>
              </w:rPr>
              <w:t>。</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eastAsia"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2.黄花乡羊槽村菌菇产业园建设工程总平面设计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场地位于泾源县黄花乡，现状用地为耕地和建设用地，以农田生态为主要自然环境。市政基础设施配套规划完善，已明确给水、排水、电力外网系统布局，场内道路含硬化处理路段，可满足菌菇产业运输及日常作业需求。</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集中布置48座出菇棚（单座368㎡），同步建设1座冷库及分拣车间（1050 ㎡）。配套建设</w:t>
            </w:r>
            <w:r>
              <w:rPr>
                <w:rFonts w:hint="eastAsia" w:eastAsia="仿宋_GB2312" w:cs="Times New Roman"/>
                <w:color w:val="auto"/>
                <w:sz w:val="24"/>
                <w:szCs w:val="24"/>
                <w:highlight w:val="none"/>
                <w:lang w:val="en-US" w:eastAsia="zh-CN"/>
              </w:rPr>
              <w:t>给</w:t>
            </w:r>
            <w:r>
              <w:rPr>
                <w:rFonts w:hint="default" w:ascii="Times New Roman" w:hAnsi="Times New Roman" w:eastAsia="仿宋_GB2312" w:cs="Times New Roman"/>
                <w:color w:val="auto"/>
                <w:sz w:val="24"/>
                <w:szCs w:val="24"/>
                <w:highlight w:val="none"/>
                <w:lang w:val="en-US" w:eastAsia="zh-CN"/>
              </w:rPr>
              <w:t>排水管网、电力设施（柴油发电机组1台、干式变压器1台）、阀门井、水表井、柴油发电机组等，全面保障生产运营。棚体及车间采用行列式整齐布置，出菇棚、养菌棚分区集中摆放，冷库及分拣车间靠近场地主干道布置，方便物资流转。合理控制棚间及建筑物间距，满足通风、消防及日常作业需求，形成功能分区明确、布局有序的生产空间。</w:t>
            </w:r>
            <w:r>
              <w:rPr>
                <w:rFonts w:hint="default" w:ascii="Times New Roman" w:hAnsi="Times New Roman" w:eastAsia="仿宋_GB2312" w:cs="Times New Roman"/>
                <w:color w:val="auto"/>
                <w:sz w:val="24"/>
                <w:szCs w:val="24"/>
                <w:highlight w:val="none"/>
              </w:rPr>
              <w:t>本工程平面布置图见</w:t>
            </w:r>
            <w:r>
              <w:rPr>
                <w:rFonts w:hint="eastAsia" w:eastAsia="仿宋_GB2312" w:cs="Times New Roman"/>
                <w:color w:val="auto"/>
                <w:sz w:val="24"/>
                <w:szCs w:val="24"/>
                <w:highlight w:val="none"/>
                <w:lang w:val="en-US" w:eastAsia="zh-CN"/>
              </w:rPr>
              <w:t>附图8</w:t>
            </w:r>
            <w:r>
              <w:rPr>
                <w:rFonts w:hint="default" w:ascii="Times New Roman" w:hAnsi="Times New Roman" w:eastAsia="仿宋_GB2312" w:cs="Times New Roman"/>
                <w:color w:val="auto"/>
                <w:sz w:val="24"/>
                <w:szCs w:val="24"/>
                <w:highlight w:val="none"/>
              </w:rPr>
              <w:t>。</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ascii="Times New Roman" w:hAnsi="Times New Roman" w:eastAsia="仿宋_GB2312" w:cs="Times New Roman"/>
                <w:b/>
                <w:bCs/>
                <w:color w:val="auto"/>
                <w:sz w:val="24"/>
                <w:szCs w:val="24"/>
                <w:highlight w:val="none"/>
                <w:lang w:val="en-US" w:eastAsia="zh-CN"/>
              </w:rPr>
            </w:pPr>
            <w:r>
              <w:rPr>
                <w:rFonts w:hint="eastAsia" w:ascii="Times New Roman" w:hAnsi="Times New Roman" w:eastAsia="仿宋_GB2312" w:cs="Times New Roman"/>
                <w:b/>
                <w:bCs/>
                <w:color w:val="auto"/>
                <w:sz w:val="24"/>
                <w:szCs w:val="24"/>
                <w:highlight w:val="none"/>
                <w:lang w:val="en-US" w:eastAsia="zh-CN"/>
              </w:rPr>
              <w:t>3.新民乡马河滩村菌菇大棚建设工程总平面</w:t>
            </w:r>
            <w:r>
              <w:rPr>
                <w:rFonts w:hint="eastAsia" w:eastAsia="仿宋_GB2312" w:cs="Times New Roman"/>
                <w:b/>
                <w:bCs/>
                <w:color w:val="auto"/>
                <w:sz w:val="24"/>
                <w:szCs w:val="24"/>
                <w:highlight w:val="none"/>
                <w:lang w:val="en-US" w:eastAsia="zh-CN"/>
              </w:rPr>
              <w:t>设计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场地位于泾源县新民乡马河滩村，现状用地为耕地，自然环境以农田生态为主。市政基础设施配套规划完善，已布局给水、排水、电力外网系统，道路包含硬化处理路段，可满足菌菇和菌丝产业生产运输及日常作业需求。</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 xml:space="preserve">（1）功能分区 </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生产区为24座出菇棚和4座养菌棚集中布置区域，出菇棚单棚规格40m×9.2m，单棚面积368㎡，养菌棚单棚规格64m×12m，单棚面积768㎡，总建筑面积11904㎡；配套建设给排水管网、电力设施（含250KVA变压器）、100m³蓄水池、阀门井等基础设施区域。</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 xml:space="preserve">（2）建筑空间组织及与周边环境关系 </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24座出菇棚和4座养菌采用行列式整齐布置，保证棚间合理间距，满足通风、消防及作业需求，形成规整有序的生产空间。建筑空间与周边农田生态环境相协调，避免大规模改造地形，保留自然地貌肌理，使产业设施融入乡村景观，减少对周边生态的影响。</w:t>
            </w:r>
            <w:r>
              <w:rPr>
                <w:rFonts w:hint="default" w:ascii="Times New Roman" w:hAnsi="Times New Roman" w:eastAsia="仿宋_GB2312" w:cs="Times New Roman"/>
                <w:color w:val="auto"/>
                <w:sz w:val="24"/>
                <w:szCs w:val="24"/>
                <w:highlight w:val="none"/>
              </w:rPr>
              <w:t>本工程平面布置图见</w:t>
            </w:r>
            <w:r>
              <w:rPr>
                <w:rFonts w:hint="eastAsia" w:eastAsia="仿宋_GB2312" w:cs="Times New Roman"/>
                <w:color w:val="auto"/>
                <w:sz w:val="24"/>
                <w:szCs w:val="24"/>
                <w:highlight w:val="none"/>
                <w:lang w:val="en-US" w:eastAsia="zh-CN"/>
              </w:rPr>
              <w:t>附图9。</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ascii="Times New Roman" w:hAnsi="Times New Roman" w:eastAsia="仿宋_GB2312" w:cs="Times New Roman"/>
                <w:b/>
                <w:bCs/>
                <w:color w:val="auto"/>
                <w:sz w:val="24"/>
                <w:szCs w:val="24"/>
                <w:highlight w:val="none"/>
                <w:lang w:val="en-US" w:eastAsia="zh-CN"/>
              </w:rPr>
            </w:pPr>
            <w:r>
              <w:rPr>
                <w:rFonts w:hint="eastAsia" w:ascii="Times New Roman" w:hAnsi="Times New Roman" w:eastAsia="仿宋_GB2312" w:cs="Times New Roman"/>
                <w:b/>
                <w:bCs/>
                <w:color w:val="auto"/>
                <w:sz w:val="24"/>
                <w:szCs w:val="24"/>
                <w:highlight w:val="none"/>
                <w:lang w:val="en-US" w:eastAsia="zh-CN"/>
              </w:rPr>
              <w:t>4.大湾乡养菌棚改造及木耳配套设施建设工程总平面设计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场地位于泾源县大湾乡牛营村，现状用地已布局改造养菌棚等设施，自然环境以乡村产业生态为主。市政基础设施配套完善，已规划给水、排水、电力外网系统，道路含硬化处理路段，可满足菌菇生产运输及日常作业需求。四邻无大型建筑物及构筑物，规划范围内以产业生产设施为核心，与周边生态环境协调。集中布置1868.47㎡烘干车间、1座357.43㎡堆料车间、5座209.48㎡改造养菌棚，总建筑面积2273.3㎡，按行列式整齐布局。配套建设给排水管网、电力设施、200m³钢筋混凝土蓄水池、给水阀门井、电缆工作井等，集中布置于生产区周边，便于运维。</w:t>
            </w:r>
            <w:r>
              <w:rPr>
                <w:rFonts w:hint="default" w:ascii="Times New Roman" w:hAnsi="Times New Roman" w:eastAsia="仿宋_GB2312" w:cs="Times New Roman"/>
                <w:color w:val="auto"/>
                <w:sz w:val="24"/>
                <w:szCs w:val="24"/>
                <w:highlight w:val="none"/>
              </w:rPr>
              <w:t>本工程平面布置图见</w:t>
            </w:r>
            <w:r>
              <w:rPr>
                <w:rFonts w:hint="eastAsia" w:eastAsia="仿宋_GB2312" w:cs="Times New Roman"/>
                <w:color w:val="auto"/>
                <w:sz w:val="24"/>
                <w:szCs w:val="24"/>
                <w:highlight w:val="none"/>
                <w:lang w:val="en-US" w:eastAsia="zh-CN"/>
              </w:rPr>
              <w:t>附图10。</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ascii="Times New Roman" w:hAnsi="Times New Roman" w:eastAsia="仿宋_GB2312" w:cs="Times New Roman"/>
                <w:b/>
                <w:bCs/>
                <w:color w:val="auto"/>
                <w:sz w:val="24"/>
                <w:szCs w:val="24"/>
                <w:highlight w:val="none"/>
                <w:lang w:val="en-US" w:eastAsia="zh-CN"/>
              </w:rPr>
            </w:pPr>
            <w:r>
              <w:rPr>
                <w:rFonts w:hint="default" w:ascii="Times New Roman" w:hAnsi="Times New Roman" w:eastAsia="仿宋_GB2312" w:cs="Times New Roman"/>
                <w:b/>
                <w:bCs/>
                <w:color w:val="auto"/>
                <w:sz w:val="24"/>
                <w:szCs w:val="24"/>
                <w:highlight w:val="none"/>
                <w:lang w:val="en-US" w:eastAsia="zh-CN"/>
              </w:rPr>
              <w:t>5</w:t>
            </w:r>
            <w:r>
              <w:rPr>
                <w:rFonts w:hint="eastAsia" w:ascii="Times New Roman" w:hAnsi="Times New Roman" w:eastAsia="仿宋_GB2312" w:cs="Times New Roman"/>
                <w:b/>
                <w:bCs/>
                <w:color w:val="auto"/>
                <w:sz w:val="24"/>
                <w:szCs w:val="24"/>
                <w:highlight w:val="none"/>
                <w:lang w:val="en-US" w:eastAsia="zh-CN"/>
              </w:rPr>
              <w:t>.香水镇卡子村菌菇产业提质扩量建设工程总平面</w:t>
            </w:r>
            <w:r>
              <w:rPr>
                <w:rFonts w:hint="eastAsia" w:eastAsia="仿宋_GB2312" w:cs="Times New Roman"/>
                <w:b/>
                <w:bCs/>
                <w:color w:val="auto"/>
                <w:sz w:val="24"/>
                <w:szCs w:val="24"/>
                <w:highlight w:val="none"/>
                <w:lang w:val="en-US" w:eastAsia="zh-CN"/>
              </w:rPr>
              <w:t>设计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场地位于泾源县香水镇卡子村，现状用地为耕地，自然环境以农田生态为主。市政基础设施配套完善，已规划给水、排水、电力外网系统，道路包含硬化处理路段，可满足产业运输及作业需求。</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集中布置45座出菇棚，总建筑面积16560平方米（单座368平方米）。配套建设给排水管网、电力设施（含160kva箱式变电站）、100m³钢筋混凝土蓄水池、给水阀门井等基础设施区域。45座出菇棚采用行列式整齐布置，保证棚间合理间距，满足通风、消防及作业通行需求，形成规整有序的生产空间。建筑空间与周边农田生态环境相协调，避免大规模改造地形，保留自然地貌肌理。</w:t>
            </w:r>
            <w:r>
              <w:rPr>
                <w:rFonts w:hint="default" w:ascii="Times New Roman" w:hAnsi="Times New Roman" w:eastAsia="仿宋_GB2312" w:cs="Times New Roman"/>
                <w:color w:val="auto"/>
                <w:sz w:val="24"/>
                <w:szCs w:val="24"/>
                <w:highlight w:val="none"/>
              </w:rPr>
              <w:t>本工程平面布置图见</w:t>
            </w:r>
            <w:r>
              <w:rPr>
                <w:rFonts w:hint="eastAsia" w:eastAsia="仿宋_GB2312" w:cs="Times New Roman"/>
                <w:color w:val="auto"/>
                <w:sz w:val="24"/>
                <w:szCs w:val="24"/>
                <w:highlight w:val="none"/>
                <w:lang w:val="en-US" w:eastAsia="zh-CN"/>
              </w:rPr>
              <w:t>附图11。</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ascii="Times New Roman" w:hAnsi="Times New Roman" w:eastAsia="仿宋_GB2312" w:cs="Times New Roman"/>
                <w:b/>
                <w:bCs/>
                <w:color w:val="auto"/>
                <w:sz w:val="24"/>
                <w:szCs w:val="24"/>
                <w:highlight w:val="none"/>
                <w:lang w:val="en-US" w:eastAsia="zh-CN"/>
              </w:rPr>
            </w:pPr>
            <w:r>
              <w:rPr>
                <w:rFonts w:hint="eastAsia" w:ascii="Times New Roman" w:hAnsi="Times New Roman" w:eastAsia="仿宋_GB2312" w:cs="Times New Roman"/>
                <w:b/>
                <w:bCs/>
                <w:color w:val="auto"/>
                <w:sz w:val="24"/>
                <w:szCs w:val="24"/>
                <w:highlight w:val="none"/>
                <w:lang w:val="en-US" w:eastAsia="zh-CN"/>
              </w:rPr>
              <w:t>6.香水镇米岗村新建菌菇棚建设工程总平面设计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场地位于泾源县香水镇米岗村，现状用地为适宜产业建设的地块，自然环境以乡村生态为主。市政基础设施配套已规划，现有给水阀门井可接入供水，电力外网系统已具备接入条件，道路含硬化处理路段，能满足菌菇生产物资运输、作业人员通行需求。</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集中布置30座出菇棚，为项目核心功能区域。配套建设给排水管网、电力设施、阀门井等，保障生产运营。30座出菇棚采用行列式整齐布置，单个棚体面积368㎡，总建筑面积1040㎡。棚间预留合理间距，满足通风、消防及日常作业需求，形成规整有序的生产空间。</w:t>
            </w:r>
            <w:r>
              <w:rPr>
                <w:rFonts w:hint="default" w:ascii="Times New Roman" w:hAnsi="Times New Roman" w:eastAsia="仿宋_GB2312" w:cs="Times New Roman"/>
                <w:color w:val="auto"/>
                <w:sz w:val="24"/>
                <w:szCs w:val="24"/>
                <w:highlight w:val="none"/>
              </w:rPr>
              <w:t>本工程平面布置图见</w:t>
            </w:r>
            <w:r>
              <w:rPr>
                <w:rFonts w:hint="eastAsia" w:eastAsia="仿宋_GB2312" w:cs="Times New Roman"/>
                <w:color w:val="auto"/>
                <w:sz w:val="24"/>
                <w:szCs w:val="24"/>
                <w:highlight w:val="none"/>
                <w:lang w:val="en-US" w:eastAsia="zh-CN"/>
              </w:rPr>
              <w:t>附图12。</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ascii="Times New Roman" w:hAnsi="Times New Roman"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7.</w:t>
            </w:r>
            <w:r>
              <w:rPr>
                <w:rFonts w:hint="default" w:ascii="Times New Roman" w:hAnsi="Times New Roman" w:eastAsia="仿宋_GB2312" w:cs="Times New Roman"/>
                <w:b/>
                <w:bCs/>
                <w:color w:val="auto"/>
                <w:sz w:val="24"/>
                <w:szCs w:val="24"/>
                <w:highlight w:val="none"/>
                <w:lang w:val="en-US" w:eastAsia="zh-CN"/>
              </w:rPr>
              <w:t>兴盛乡兴盛村特色农业设施大棚总平面设计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场地位于泾源县兴盛乡兴盛村，现状用地为耕地，以农田生态为主要自然环境。市政基础设施配套规划完善，已明确给水、排水、电力外网系统布局，场内道路含硬化处理路段，可满足菌菇产业运输及日常作业需求。集中布置12座出菇棚（单座368㎡）与6座采摘棚（单座960㎡）。配套建设给排水管网、电力设施（变台、配电柜）、蓄水池、阀门井、水表井等，保障生产运营。出菇棚与采摘棚采用行列式整齐布置，合理控制棚间间距，满足通风、消防及日常作业需求，形成有序生产空间。</w:t>
            </w:r>
            <w:r>
              <w:rPr>
                <w:rFonts w:hint="default" w:ascii="Times New Roman" w:hAnsi="Times New Roman" w:eastAsia="仿宋_GB2312" w:cs="Times New Roman"/>
                <w:color w:val="auto"/>
                <w:sz w:val="24"/>
                <w:szCs w:val="24"/>
                <w:highlight w:val="none"/>
              </w:rPr>
              <w:t>本工程平面布置图见</w:t>
            </w:r>
            <w:r>
              <w:rPr>
                <w:rFonts w:hint="eastAsia" w:eastAsia="仿宋_GB2312" w:cs="Times New Roman"/>
                <w:color w:val="auto"/>
                <w:sz w:val="24"/>
                <w:szCs w:val="24"/>
                <w:highlight w:val="none"/>
                <w:lang w:val="en-US" w:eastAsia="zh-CN"/>
              </w:rPr>
              <w:t>附图13。</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ascii="Times New Roman" w:hAnsi="Times New Roman" w:eastAsia="仿宋_GB2312" w:cs="Times New Roman"/>
                <w:b/>
                <w:bCs/>
                <w:color w:val="auto"/>
                <w:sz w:val="24"/>
                <w:szCs w:val="24"/>
                <w:highlight w:val="none"/>
              </w:rPr>
            </w:pPr>
            <w:r>
              <w:rPr>
                <w:rFonts w:hint="eastAsia" w:eastAsia="仿宋_GB2312" w:cs="Times New Roman"/>
                <w:b/>
                <w:bCs/>
                <w:color w:val="auto"/>
                <w:sz w:val="24"/>
                <w:szCs w:val="24"/>
                <w:highlight w:val="none"/>
                <w:lang w:val="en-US" w:eastAsia="zh-CN"/>
              </w:rPr>
              <w:t>8.</w:t>
            </w:r>
            <w:r>
              <w:rPr>
                <w:rFonts w:hint="default" w:ascii="Times New Roman" w:hAnsi="Times New Roman" w:eastAsia="仿宋_GB2312" w:cs="Times New Roman"/>
                <w:b/>
                <w:bCs/>
                <w:color w:val="auto"/>
                <w:sz w:val="24"/>
                <w:szCs w:val="24"/>
                <w:highlight w:val="none"/>
                <w:lang w:val="en-US" w:eastAsia="zh-CN"/>
              </w:rPr>
              <w:t>泾河源镇白面村新建菌菇棚建设工程总平面设计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场地位于泾源县泾河源镇白面村，现状用地为耕地，自然环境以农田生态为主。市政基础设施配套规划完善，已布局给水、排水、电力外网系统，道路包含硬化处理路段，可满足菌菇产业生产运输及日常作业需求。</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生产区为109座出菇棚和21座养菌棚集中布置区域，出菇棚单棚规格40m×9.2m，单棚面积368㎡，养菌棚单棚规格64m×12m，单棚面积768㎡，总建筑面积56240㎡；配套建设给排水管网、电力设施、蓄水池、阀门井、接地端子箱等基础设施区域；预留场地周边部分用地作为远期产业拓展空间，保障项目可持续发展。109座出菇棚和21座养菌棚采用行列式整齐布置，保证棚间合理间距，满足通风、消防及作业需求，形成规整有序的生产空间。建筑空间与周边农田生态环境相协调，避免大规模改造地形。</w:t>
            </w:r>
            <w:r>
              <w:rPr>
                <w:rFonts w:hint="default" w:ascii="Times New Roman" w:hAnsi="Times New Roman" w:eastAsia="仿宋_GB2312" w:cs="Times New Roman"/>
                <w:color w:val="auto"/>
                <w:sz w:val="24"/>
                <w:szCs w:val="24"/>
                <w:highlight w:val="none"/>
              </w:rPr>
              <w:t>本工程平面布置图见</w:t>
            </w:r>
            <w:r>
              <w:rPr>
                <w:rFonts w:hint="eastAsia" w:eastAsia="仿宋_GB2312" w:cs="Times New Roman"/>
                <w:color w:val="auto"/>
                <w:sz w:val="24"/>
                <w:szCs w:val="24"/>
                <w:highlight w:val="none"/>
                <w:lang w:val="en-US" w:eastAsia="zh-CN"/>
              </w:rPr>
              <w:t>附图14。</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eastAsia"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9.泾河源镇白面村菌菇产业园区建设工程总平面设计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场地位于宁夏回族自治区泾源县泾河源镇白面村，属于乡镇级产业园区用地。周边市政基础设施配套逐步完善，市政给水可作为项目用水补水来源，10KV高压电源引自园区外10米处高压分支箱</w:t>
            </w:r>
            <w:r>
              <w:rPr>
                <w:rFonts w:hint="eastAsia" w:eastAsia="仿宋_GB2312" w:cs="Times New Roman"/>
                <w:color w:val="auto"/>
                <w:sz w:val="24"/>
                <w:szCs w:val="24"/>
                <w:highlight w:val="none"/>
                <w:lang w:val="en-US" w:eastAsia="zh-CN"/>
              </w:rPr>
              <w:t>、</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（1）功能分区及分期建设</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功能分区明确，分为生产区与辅助设施区：生产区包含菌棒加工车间，辅助设施区包含消防水池及泵房、箱式变电站、柴油发电机房等。</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（2）建筑空间组织与环境关系</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建筑布局顺应场地地形与朝向，菌棒加工车间等主要生产建筑布置在场地核心区域，保证生产流程顺畅。辅助设施如消防水池及泵房、箱式变电站等布置在边缘区域，减少对生产区的干扰，同时便于市政管线接入与维护，与四周自然环境和谐共生。</w:t>
            </w:r>
            <w:r>
              <w:rPr>
                <w:rFonts w:hint="default" w:ascii="Times New Roman" w:hAnsi="Times New Roman" w:eastAsia="仿宋_GB2312" w:cs="Times New Roman"/>
                <w:color w:val="auto"/>
                <w:sz w:val="24"/>
                <w:szCs w:val="24"/>
                <w:highlight w:val="none"/>
              </w:rPr>
              <w:t>本工程平面布置图见</w:t>
            </w:r>
            <w:r>
              <w:rPr>
                <w:rFonts w:hint="eastAsia" w:eastAsia="仿宋_GB2312" w:cs="Times New Roman"/>
                <w:color w:val="auto"/>
                <w:sz w:val="24"/>
                <w:szCs w:val="24"/>
                <w:highlight w:val="none"/>
                <w:lang w:val="en-US" w:eastAsia="zh-CN"/>
              </w:rPr>
              <w:t>附图15。</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rPr>
              <w:t>二、施工布置合理性</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rPr>
              <w:t>施工运输分场外运输和场内运输两部分。工程所需建筑材料及器材设备，除部分当地建筑材料可以就近开采供应外，其它如建筑材料、施工机具、生活物资均由外地输入。对外交通运输与进场道路结合本工程布置，选择场外运输为公路运输方案，外部器材物资主要以</w:t>
            </w:r>
            <w:r>
              <w:rPr>
                <w:rFonts w:hint="eastAsia" w:eastAsia="仿宋_GB2312" w:cs="Times New Roman"/>
                <w:color w:val="auto"/>
                <w:sz w:val="24"/>
                <w:szCs w:val="24"/>
                <w:highlight w:val="none"/>
                <w:lang w:val="en-US" w:eastAsia="zh-CN"/>
              </w:rPr>
              <w:t>乡</w:t>
            </w:r>
            <w:r>
              <w:rPr>
                <w:rFonts w:hint="default" w:ascii="Times New Roman" w:hAnsi="Times New Roman" w:eastAsia="仿宋_GB2312" w:cs="Times New Roman"/>
                <w:color w:val="auto"/>
                <w:sz w:val="24"/>
                <w:szCs w:val="24"/>
                <w:highlight w:val="none"/>
              </w:rPr>
              <w:t>道作为运输干道，将工程物资运到施工地点。</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eastAsia" w:eastAsia="仿宋_GB2312" w:cs="Times New Roman"/>
                <w:bCs/>
                <w:color w:val="auto"/>
                <w:kern w:val="2"/>
                <w:sz w:val="24"/>
                <w:szCs w:val="24"/>
                <w:highlight w:val="none"/>
                <w:lang w:val="en-US" w:eastAsia="zh-CN" w:bidi="ar-SA"/>
              </w:rPr>
            </w:pPr>
            <w:r>
              <w:rPr>
                <w:rFonts w:hint="default" w:ascii="Times New Roman" w:hAnsi="Times New Roman" w:eastAsia="仿宋_GB2312" w:cs="Times New Roman"/>
                <w:color w:val="auto"/>
                <w:sz w:val="24"/>
                <w:szCs w:val="24"/>
                <w:highlight w:val="none"/>
              </w:rPr>
              <w:t>施工作业区仅限于临时堆放场地和施工场地占地范围内。项目分段施工，布局紧凑，施工临时占地面积小，有利于缩短施工时间，做到各段施工互不干扰，有利于进一步的控制施工扬尘、废水、固废对环境的影响。因此，从环保角度考虑，项目施工平面布置合理。</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465" w:type="dxa"/>
            <w:tcBorders>
              <w:tl2br w:val="nil"/>
              <w:tr2bl w:val="nil"/>
            </w:tcBorders>
            <w:vAlign w:val="center"/>
          </w:tcPr>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r>
              <w:rPr>
                <w:rFonts w:hint="default" w:ascii="Times New Roman" w:hAnsi="Times New Roman" w:eastAsia="仿宋_GB2312" w:cs="Times New Roman"/>
                <w:b/>
                <w:bCs/>
                <w:color w:val="auto"/>
                <w:szCs w:val="24"/>
                <w:highlight w:val="none"/>
                <w:lang w:eastAsia="zh-CN"/>
              </w:rPr>
              <w:t>施工方案</w:t>
            </w: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r>
              <w:rPr>
                <w:rFonts w:hint="default" w:ascii="Times New Roman" w:hAnsi="Times New Roman" w:eastAsia="仿宋_GB2312" w:cs="Times New Roman"/>
                <w:b/>
                <w:bCs/>
                <w:color w:val="auto"/>
                <w:szCs w:val="24"/>
                <w:highlight w:val="none"/>
                <w:lang w:eastAsia="zh-CN"/>
              </w:rPr>
              <w:t>施工方案</w:t>
            </w: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r>
              <w:rPr>
                <w:rFonts w:hint="default" w:ascii="Times New Roman" w:hAnsi="Times New Roman" w:eastAsia="仿宋_GB2312" w:cs="Times New Roman"/>
                <w:b/>
                <w:bCs/>
                <w:color w:val="auto"/>
                <w:szCs w:val="24"/>
                <w:highlight w:val="none"/>
                <w:lang w:eastAsia="zh-CN"/>
              </w:rPr>
              <w:t>施工方案</w:t>
            </w: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r>
              <w:rPr>
                <w:rFonts w:hint="default" w:ascii="Times New Roman" w:hAnsi="Times New Roman" w:eastAsia="仿宋_GB2312" w:cs="Times New Roman"/>
                <w:b/>
                <w:bCs/>
                <w:color w:val="auto"/>
                <w:szCs w:val="24"/>
                <w:highlight w:val="none"/>
                <w:lang w:eastAsia="zh-CN"/>
              </w:rPr>
              <w:t>施工方案</w:t>
            </w: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r>
              <w:rPr>
                <w:rFonts w:hint="default" w:ascii="Times New Roman" w:hAnsi="Times New Roman" w:eastAsia="仿宋_GB2312" w:cs="Times New Roman"/>
                <w:b/>
                <w:bCs/>
                <w:color w:val="auto"/>
                <w:szCs w:val="24"/>
                <w:highlight w:val="none"/>
                <w:lang w:eastAsia="zh-CN"/>
              </w:rPr>
              <w:t>施工方案</w:t>
            </w: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r>
              <w:rPr>
                <w:rFonts w:hint="default" w:ascii="Times New Roman" w:hAnsi="Times New Roman" w:eastAsia="仿宋_GB2312" w:cs="Times New Roman"/>
                <w:b/>
                <w:bCs/>
                <w:color w:val="auto"/>
                <w:szCs w:val="24"/>
                <w:highlight w:val="none"/>
                <w:lang w:eastAsia="zh-CN"/>
              </w:rPr>
              <w:t>施工方案</w:t>
            </w: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szCs w:val="24"/>
                <w:highlight w:val="none"/>
                <w:lang w:val="en-US" w:eastAsia="zh-CN"/>
              </w:rPr>
            </w:pPr>
          </w:p>
        </w:tc>
        <w:tc>
          <w:tcPr>
            <w:tcW w:w="8736" w:type="dxa"/>
            <w:gridSpan w:val="2"/>
            <w:tcBorders>
              <w:tl2br w:val="nil"/>
              <w:tr2bl w:val="nil"/>
            </w:tcBorders>
          </w:tcPr>
          <w:p>
            <w:pPr>
              <w:keepNext w:val="0"/>
              <w:keepLines w:val="0"/>
              <w:pageBreakBefore w:val="0"/>
              <w:widowControl w:val="0"/>
              <w:numPr>
                <w:ilvl w:val="0"/>
                <w:numId w:val="0"/>
              </w:numPr>
              <w:kinsoku/>
              <w:wordWrap/>
              <w:overflowPunct/>
              <w:topLinePunct w:val="0"/>
              <w:autoSpaceDE/>
              <w:autoSpaceDN/>
              <w:bidi w:val="0"/>
              <w:adjustRightInd w:val="0"/>
              <w:snapToGrid w:val="0"/>
              <w:spacing w:beforeLines="0" w:afterLines="0" w:line="360" w:lineRule="auto"/>
              <w:ind w:right="0" w:rightChars="0"/>
              <w:jc w:val="both"/>
              <w:textAlignment w:val="auto"/>
              <w:rPr>
                <w:rFonts w:hint="default"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一、施工工程方案</w:t>
            </w:r>
          </w:p>
          <w:p>
            <w:pPr>
              <w:pStyle w:val="15"/>
              <w:adjustRightInd w:val="0"/>
              <w:spacing w:before="0" w:after="0" w:line="360" w:lineRule="auto"/>
              <w:ind w:right="0"/>
              <w:jc w:val="both"/>
              <w:rPr>
                <w:rFonts w:hint="eastAsia"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1.施工准备</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eastAsia" w:ascii="Times New Roman" w:hAnsi="Times New Roman" w:eastAsia="仿宋_GB2312" w:cs="Times New Roman"/>
                <w:color w:val="auto"/>
                <w:sz w:val="24"/>
                <w:szCs w:val="24"/>
                <w:highlight w:val="none"/>
                <w:lang w:val="en-US" w:eastAsia="zh-CN"/>
              </w:rPr>
            </w:pPr>
            <w:r>
              <w:rPr>
                <w:rFonts w:hint="eastAsia" w:eastAsia="仿宋_GB2312" w:cs="Times New Roman"/>
                <w:color w:val="auto"/>
                <w:sz w:val="24"/>
                <w:szCs w:val="24"/>
                <w:highlight w:val="none"/>
                <w:lang w:val="en-US" w:eastAsia="zh-CN"/>
              </w:rPr>
              <w:t>1</w:t>
            </w:r>
            <w:r>
              <w:rPr>
                <w:rFonts w:hint="eastAsia" w:ascii="Times New Roman" w:hAnsi="Times New Roman" w:eastAsia="仿宋_GB2312" w:cs="Times New Roman"/>
                <w:color w:val="auto"/>
                <w:sz w:val="24"/>
                <w:szCs w:val="24"/>
                <w:highlight w:val="none"/>
                <w:lang w:val="en-US" w:eastAsia="zh-CN"/>
              </w:rPr>
              <w:t>.1技术准备</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组织施工技术⼈员熟悉设计图纸、地质勘察报告，明确各设施的结构参数、材料要求。编制专项施工⽅案，针对菌棒加工⻋间的洁净区施工、冷库的保温密封施工、棚体的钢结构安装等关键环节，制定详细的技术措施。进⾏技术交底，确保施工</w:t>
            </w:r>
            <w:r>
              <w:rPr>
                <w:rFonts w:hint="eastAsia" w:eastAsia="仿宋_GB2312" w:cs="Times New Roman"/>
                <w:color w:val="auto"/>
                <w:sz w:val="24"/>
                <w:szCs w:val="24"/>
                <w:highlight w:val="none"/>
                <w:lang w:val="en-US" w:eastAsia="zh-CN"/>
              </w:rPr>
              <w:t>人</w:t>
            </w:r>
            <w:r>
              <w:rPr>
                <w:rFonts w:hint="eastAsia" w:ascii="Times New Roman" w:hAnsi="Times New Roman" w:eastAsia="仿宋_GB2312" w:cs="Times New Roman"/>
                <w:color w:val="auto"/>
                <w:sz w:val="24"/>
                <w:szCs w:val="24"/>
                <w:highlight w:val="none"/>
                <w:lang w:val="en-US" w:eastAsia="zh-CN"/>
              </w:rPr>
              <w:t>员掌握各设施的施工难点及质量标准，如养菌棚的保温层铺设要求、出菇棚的喷雾系统安装精度等</w:t>
            </w:r>
            <w:r>
              <w:rPr>
                <w:rFonts w:hint="eastAsia" w:eastAsia="仿宋_GB2312" w:cs="Times New Roman"/>
                <w:color w:val="auto"/>
                <w:sz w:val="24"/>
                <w:szCs w:val="24"/>
                <w:highlight w:val="none"/>
                <w:lang w:val="en-US" w:eastAsia="zh-CN"/>
              </w:rPr>
              <w:t>。</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eastAsia" w:eastAsia="仿宋_GB2312" w:cs="Times New Roman"/>
                <w:color w:val="auto"/>
                <w:sz w:val="24"/>
                <w:szCs w:val="24"/>
                <w:highlight w:val="none"/>
                <w:lang w:val="en-US" w:eastAsia="zh-CN"/>
              </w:rPr>
            </w:pPr>
            <w:r>
              <w:rPr>
                <w:rFonts w:hint="eastAsia" w:eastAsia="仿宋_GB2312" w:cs="Times New Roman"/>
                <w:color w:val="auto"/>
                <w:sz w:val="24"/>
                <w:szCs w:val="24"/>
                <w:highlight w:val="none"/>
                <w:lang w:val="en-US" w:eastAsia="zh-CN"/>
              </w:rPr>
              <w:t>1.2物资准备</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eastAsia" w:eastAsia="仿宋_GB2312" w:cs="Times New Roman"/>
                <w:color w:val="auto"/>
                <w:sz w:val="24"/>
                <w:szCs w:val="24"/>
                <w:highlight w:val="none"/>
                <w:lang w:val="en-US" w:eastAsia="zh-CN"/>
              </w:rPr>
            </w:pPr>
            <w:r>
              <w:rPr>
                <w:rFonts w:hint="eastAsia" w:eastAsia="仿宋_GB2312" w:cs="Times New Roman"/>
                <w:color w:val="auto"/>
                <w:sz w:val="24"/>
                <w:szCs w:val="24"/>
                <w:highlight w:val="none"/>
                <w:lang w:val="en-US" w:eastAsia="zh-CN"/>
              </w:rPr>
              <w:t>主材采购：根据设计要求采购钢材、水泥、砂石、保温材料（如聚氨酯保温板、岩棉）、防水材料（如HDPE防渗膜、防⽔卷材）、钢结构构件、洁净板材（菌棒加工车间用）、冷库保温板等，确保材料符合国家标准及项⽬环保要求（如保温材料需阻燃、无毒）。辅材与设备：准备施工机械（挖掘机、起重机、搅拌机、电焊机）、测量仪器（水准仪、全站仪）、环保施工设备（扬尘抑制剂、洒水车、粉尘收集装置），以及管道、阀门、喷头（出菇棚喷雾）、通风扇等配套设施。材料检验：所有进场材料需提供质量合格证明，对保温材料、防⽔材料、钢材等关键材料进⾏抽样送检，合格后方可投入使用。</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eastAsia="仿宋_GB2312" w:cs="Times New Roman"/>
                <w:color w:val="auto"/>
                <w:sz w:val="24"/>
                <w:szCs w:val="24"/>
                <w:highlight w:val="none"/>
                <w:lang w:val="en-US" w:eastAsia="zh-CN"/>
              </w:rPr>
            </w:pPr>
            <w:r>
              <w:rPr>
                <w:rFonts w:hint="eastAsia" w:eastAsia="仿宋_GB2312" w:cs="Times New Roman"/>
                <w:color w:val="auto"/>
                <w:sz w:val="24"/>
                <w:szCs w:val="24"/>
                <w:highlight w:val="none"/>
                <w:lang w:val="en-US" w:eastAsia="zh-CN"/>
              </w:rPr>
              <w:t>1.3</w:t>
            </w:r>
            <w:r>
              <w:rPr>
                <w:rFonts w:hint="default" w:eastAsia="仿宋_GB2312" w:cs="Times New Roman"/>
                <w:color w:val="auto"/>
                <w:sz w:val="24"/>
                <w:szCs w:val="24"/>
                <w:highlight w:val="none"/>
                <w:lang w:val="en-US" w:eastAsia="zh-CN"/>
              </w:rPr>
              <w:t>场地准备</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场地平整：清理施工区域内的杂物、杂草，平整场地，根据设计标高调整地形，确保排水畅通，避免场地积水。</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临时设施搭建：搭建施工临时办公室、材料仓库、钢筋加工场、搅拌站等，设置临时供电（配备发电机备用）、供水系统，确保施工期间水电稳定供应。</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环保预处理：在施工场地周边设置围挡；设置临时沉淀池，处理施工废水，避免污染周边环境。</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eastAsia="仿宋_GB2312" w:cs="Times New Roman"/>
                <w:color w:val="auto"/>
                <w:sz w:val="24"/>
                <w:szCs w:val="24"/>
                <w:highlight w:val="none"/>
                <w:lang w:val="en-US" w:eastAsia="zh-CN"/>
              </w:rPr>
            </w:pPr>
            <w:r>
              <w:rPr>
                <w:rFonts w:hint="eastAsia" w:eastAsia="仿宋_GB2312" w:cs="Times New Roman"/>
                <w:color w:val="auto"/>
                <w:sz w:val="24"/>
                <w:szCs w:val="24"/>
                <w:highlight w:val="none"/>
                <w:lang w:val="en-US" w:eastAsia="zh-CN"/>
              </w:rPr>
              <w:t>1.4</w:t>
            </w:r>
            <w:r>
              <w:rPr>
                <w:rFonts w:hint="default" w:eastAsia="仿宋_GB2312" w:cs="Times New Roman"/>
                <w:color w:val="auto"/>
                <w:sz w:val="24"/>
                <w:szCs w:val="24"/>
                <w:highlight w:val="none"/>
                <w:lang w:val="en-US" w:eastAsia="zh-CN"/>
              </w:rPr>
              <w:t>菌棒加工车间施工</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基础施工</w:t>
            </w:r>
            <w:r>
              <w:rPr>
                <w:rFonts w:hint="eastAsia" w:eastAsia="仿宋_GB2312" w:cs="Times New Roman"/>
                <w:color w:val="auto"/>
                <w:sz w:val="24"/>
                <w:szCs w:val="24"/>
                <w:highlight w:val="none"/>
                <w:lang w:val="en-US" w:eastAsia="zh-CN"/>
              </w:rPr>
              <w:t>：</w:t>
            </w:r>
            <w:r>
              <w:rPr>
                <w:rFonts w:hint="default" w:eastAsia="仿宋_GB2312" w:cs="Times New Roman"/>
                <w:color w:val="auto"/>
                <w:sz w:val="24"/>
                <w:szCs w:val="24"/>
                <w:highlight w:val="none"/>
                <w:lang w:val="en-US" w:eastAsia="zh-CN"/>
              </w:rPr>
              <w:t>根据设计图纸进行基坑开挖，采用机械开挖配合人工修整，确保基坑尺寸、深度符合要求，边坡坡度根据地质条件调整，防止坍塌。基坑验收合格后，铺设垫层（C10混凝土），厚度10-15cm，表面平整。绑扎基础钢筋，安装模板，浇筑C30混凝土基础，振捣密实，做好养护（养护期不少于14天）。基础施工完成后，进行基坑回填，分层夯实，压实度≥93%。</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主体结构施工</w:t>
            </w:r>
            <w:r>
              <w:rPr>
                <w:rFonts w:hint="eastAsia" w:eastAsia="仿宋_GB2312" w:cs="Times New Roman"/>
                <w:color w:val="auto"/>
                <w:sz w:val="24"/>
                <w:szCs w:val="24"/>
                <w:highlight w:val="none"/>
                <w:lang w:val="en-US" w:eastAsia="zh-CN"/>
              </w:rPr>
              <w:t>：</w:t>
            </w:r>
            <w:r>
              <w:rPr>
                <w:rFonts w:hint="default" w:eastAsia="仿宋_GB2312" w:cs="Times New Roman"/>
                <w:color w:val="auto"/>
                <w:sz w:val="24"/>
                <w:szCs w:val="24"/>
                <w:highlight w:val="none"/>
                <w:lang w:val="en-US" w:eastAsia="zh-CN"/>
              </w:rPr>
              <w:t>采用钢筋混凝土框架结构或钢结构主体，钢结构构件进场后进行除锈、防腐处理，安装时确保节点连接牢固，垂直度、平整度符合规范要求。砌筑围护墙体，采用页岩砖或加气混凝土砌块，墙体抹灰平整，阴阳角方正；灭菌区、配料区墙体需做防腐处理（涂刷防腐涂料）。</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屋面施工：采用钢结构屋面，铺设保温层（岩棉保温板，厚度≥10cm）和防水层（SBS防水卷材），做好屋面排水设计，避免积水；接种区屋面需增加密封层，确保洁净度。</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专项工程施工</w:t>
            </w:r>
            <w:r>
              <w:rPr>
                <w:rFonts w:hint="eastAsia" w:eastAsia="仿宋_GB2312" w:cs="Times New Roman"/>
                <w:color w:val="auto"/>
                <w:sz w:val="24"/>
                <w:szCs w:val="24"/>
                <w:highlight w:val="none"/>
                <w:lang w:val="en-US" w:eastAsia="zh-CN"/>
              </w:rPr>
              <w:t>：</w:t>
            </w:r>
            <w:r>
              <w:rPr>
                <w:rFonts w:hint="default" w:eastAsia="仿宋_GB2312" w:cs="Times New Roman"/>
                <w:color w:val="auto"/>
                <w:sz w:val="24"/>
                <w:szCs w:val="24"/>
                <w:highlight w:val="none"/>
                <w:lang w:val="en-US" w:eastAsia="zh-CN"/>
              </w:rPr>
              <w:t>配料、装袋区地面采用耐磨、防滑、防渗混凝土（厚度≥20cm），并设置3‰的排水坡度，连接至临时沉淀池；接种区地面采用环氧地坪，确保洁净、无菌。</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洁净区施工：接种区设置独立洁净空间，安装洁净门窗，配备空气净化系统（洁净度≥10000级），做好密封处理，避免杂菌进入。</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管道与设备基础：预留配料机、搅拌机、灭菌锅、接种台等设备的安装基础，尺寸精准；铺设原料输送管道、蒸汽管道，蒸汽管道需做保温处理，避免热量损耗。</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eastAsia="仿宋_GB2312" w:cs="Times New Roman"/>
                <w:color w:val="auto"/>
                <w:sz w:val="24"/>
                <w:szCs w:val="24"/>
                <w:highlight w:val="none"/>
                <w:lang w:val="en-US" w:eastAsia="zh-CN"/>
              </w:rPr>
            </w:pPr>
            <w:r>
              <w:rPr>
                <w:rFonts w:hint="eastAsia" w:eastAsia="仿宋_GB2312" w:cs="Times New Roman"/>
                <w:color w:val="auto"/>
                <w:sz w:val="24"/>
                <w:szCs w:val="24"/>
                <w:highlight w:val="none"/>
                <w:lang w:val="en-US" w:eastAsia="zh-CN"/>
              </w:rPr>
              <w:t>1.5</w:t>
            </w:r>
            <w:r>
              <w:rPr>
                <w:rFonts w:hint="default" w:eastAsia="仿宋_GB2312" w:cs="Times New Roman"/>
                <w:color w:val="auto"/>
                <w:sz w:val="24"/>
                <w:szCs w:val="24"/>
                <w:highlight w:val="none"/>
                <w:lang w:val="en-US" w:eastAsia="zh-CN"/>
              </w:rPr>
              <w:t>养菌棚施工</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基础施工</w:t>
            </w:r>
            <w:r>
              <w:rPr>
                <w:rFonts w:hint="eastAsia" w:eastAsia="仿宋_GB2312" w:cs="Times New Roman"/>
                <w:color w:val="auto"/>
                <w:sz w:val="24"/>
                <w:szCs w:val="24"/>
                <w:highlight w:val="none"/>
                <w:lang w:val="en-US" w:eastAsia="zh-CN"/>
              </w:rPr>
              <w:t>：</w:t>
            </w:r>
            <w:r>
              <w:rPr>
                <w:rFonts w:hint="default" w:eastAsia="仿宋_GB2312" w:cs="Times New Roman"/>
                <w:color w:val="auto"/>
                <w:sz w:val="24"/>
                <w:szCs w:val="24"/>
                <w:highlight w:val="none"/>
                <w:lang w:val="en-US" w:eastAsia="zh-CN"/>
              </w:rPr>
              <w:t>采用条形基础，基坑开挖深度0.8-1.2m，宽度0.6-0.8m，铺设垫层后绑扎钢筋、安装模板，浇筑C25混凝土。基础养护完成后，回填土分层夯实，压实度≥90%。</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主体结构与围护施工</w:t>
            </w:r>
            <w:r>
              <w:rPr>
                <w:rFonts w:hint="eastAsia" w:eastAsia="仿宋_GB2312" w:cs="Times New Roman"/>
                <w:color w:val="auto"/>
                <w:sz w:val="24"/>
                <w:szCs w:val="24"/>
                <w:highlight w:val="none"/>
                <w:lang w:val="en-US" w:eastAsia="zh-CN"/>
              </w:rPr>
              <w:t>：</w:t>
            </w:r>
            <w:r>
              <w:rPr>
                <w:rFonts w:hint="default" w:eastAsia="仿宋_GB2312" w:cs="Times New Roman"/>
                <w:color w:val="auto"/>
                <w:sz w:val="24"/>
                <w:szCs w:val="24"/>
                <w:highlight w:val="none"/>
                <w:lang w:val="en-US" w:eastAsia="zh-CN"/>
              </w:rPr>
              <w:t>采用钢结构骨架，选用热镀锌钢管（型号Φ89×3.5）作为立柱和横梁，间距2.5-3m，确保结构稳定；骨架安装后进行除锈、防腐处理。</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围护结构：墙面和顶棚铺设双层保温膜（内层PE保温膜，外层防老化膜），中间夹岩棉保温层（厚度≥8cm），确保保温隔热性能；棚体两侧设置可调节通风口（高度1.5-2m，宽度0.8-1m），配备防虫网。</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地面施工：采用素混凝土地面（厚度≥15cm），表面平整，设置2‰的排水坡度，避免积水；地面铺设防潮膜，防止地下潮气上升影响菌丝生长。</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湿度调控：安装加湿器和除湿机，配备湿度传感器，实现湿度自动调控（60-70%）。</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通风系统：安装低噪音通风扇（风量≥5000m³/h），配合通风口实现弱通风，控制棚内CO₂浓度＜0.5%；通风扇外侧安装防虫网。</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避光处理：在顶棚外侧铺设遮阳网（遮光率≥90%），确保棚内无强光照射。</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eastAsia="仿宋_GB2312" w:cs="Times New Roman"/>
                <w:color w:val="auto"/>
                <w:sz w:val="24"/>
                <w:szCs w:val="24"/>
                <w:highlight w:val="none"/>
                <w:lang w:val="en-US" w:eastAsia="zh-CN"/>
              </w:rPr>
            </w:pPr>
            <w:r>
              <w:rPr>
                <w:rFonts w:hint="eastAsia" w:eastAsia="仿宋_GB2312" w:cs="Times New Roman"/>
                <w:color w:val="auto"/>
                <w:sz w:val="24"/>
                <w:szCs w:val="24"/>
                <w:highlight w:val="none"/>
                <w:lang w:val="en-US" w:eastAsia="zh-CN"/>
              </w:rPr>
              <w:t>1.6</w:t>
            </w:r>
            <w:r>
              <w:rPr>
                <w:rFonts w:hint="default" w:eastAsia="仿宋_GB2312" w:cs="Times New Roman"/>
                <w:color w:val="auto"/>
                <w:sz w:val="24"/>
                <w:szCs w:val="24"/>
                <w:highlight w:val="none"/>
                <w:lang w:val="en-US" w:eastAsia="zh-CN"/>
              </w:rPr>
              <w:t>出菇棚施工</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基础与主体施工</w:t>
            </w:r>
            <w:r>
              <w:rPr>
                <w:rFonts w:hint="eastAsia" w:eastAsia="仿宋_GB2312" w:cs="Times New Roman"/>
                <w:color w:val="auto"/>
                <w:sz w:val="24"/>
                <w:szCs w:val="24"/>
                <w:highlight w:val="none"/>
                <w:lang w:val="en-US" w:eastAsia="zh-CN"/>
              </w:rPr>
              <w:t>：</w:t>
            </w:r>
            <w:r>
              <w:rPr>
                <w:rFonts w:hint="default" w:eastAsia="仿宋_GB2312" w:cs="Times New Roman"/>
                <w:color w:val="auto"/>
                <w:sz w:val="24"/>
                <w:szCs w:val="24"/>
                <w:highlight w:val="none"/>
                <w:lang w:val="en-US" w:eastAsia="zh-CN"/>
              </w:rPr>
              <w:t>基础采用条形基础，施工工艺同养菌棚，基坑深度0.6-1.0m，确保承载能力满足出菇架安装要求。</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主体结构：采用钢结构骨架，立柱间距3-4m，横梁间距2.5m，选用热镀锌钢管，确保抗风、抗压性能；棚体高度3-4m，保障空间开阔。</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围护与屋面：墙面采用半开放式设计，下部1.5m为砖墙（或保温板），上部为可卷起的保温膜（便于通风）；屋面铺设防老化膜和遮阳网（遮光率60-70%），配备雨水管，确保排水畅通。</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喷雾加湿系统：在棚内顶部铺设喷雾管道，安装高压喷头（间距2-3m），连接水泵和蓄水池，确保棚内湿度可控制在85-95%；喷雾管道需做防锈处理。</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通风系统：安装大功率通风扇（风量≥8000m³/h）和通风管道，配合可开启的侧窗，实现强通风，控制CO₂浓度＜0.1%；通风扇和侧窗均安装防虫网。</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出菇架安装：采用钢结构出菇架，层高0.4-0.5m，间距0.8-1m，确保操作便捷；出菇架安装牢固，平整度误差≤5mm。</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eastAsia="仿宋_GB2312" w:cs="Times New Roman"/>
                <w:color w:val="auto"/>
                <w:sz w:val="24"/>
                <w:szCs w:val="24"/>
                <w:highlight w:val="none"/>
                <w:lang w:val="en-US" w:eastAsia="zh-CN"/>
              </w:rPr>
            </w:pPr>
            <w:r>
              <w:rPr>
                <w:rFonts w:hint="eastAsia" w:eastAsia="仿宋_GB2312" w:cs="Times New Roman"/>
                <w:color w:val="auto"/>
                <w:sz w:val="24"/>
                <w:szCs w:val="24"/>
                <w:highlight w:val="none"/>
                <w:lang w:val="en-US" w:eastAsia="zh-CN"/>
              </w:rPr>
              <w:t>1.8</w:t>
            </w:r>
            <w:r>
              <w:rPr>
                <w:rFonts w:hint="default" w:eastAsia="仿宋_GB2312" w:cs="Times New Roman"/>
                <w:color w:val="auto"/>
                <w:sz w:val="24"/>
                <w:szCs w:val="24"/>
                <w:highlight w:val="none"/>
                <w:lang w:val="en-US" w:eastAsia="zh-CN"/>
              </w:rPr>
              <w:t>采摘棚施工</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基础与主体</w:t>
            </w:r>
            <w:r>
              <w:rPr>
                <w:rFonts w:hint="eastAsia" w:eastAsia="仿宋_GB2312" w:cs="Times New Roman"/>
                <w:color w:val="auto"/>
                <w:sz w:val="24"/>
                <w:szCs w:val="24"/>
                <w:highlight w:val="none"/>
                <w:lang w:val="en-US" w:eastAsia="zh-CN"/>
              </w:rPr>
              <w:t>：</w:t>
            </w:r>
            <w:r>
              <w:rPr>
                <w:rFonts w:hint="default" w:eastAsia="仿宋_GB2312" w:cs="Times New Roman"/>
                <w:color w:val="auto"/>
                <w:sz w:val="24"/>
                <w:szCs w:val="24"/>
                <w:highlight w:val="none"/>
                <w:lang w:val="en-US" w:eastAsia="zh-CN"/>
              </w:rPr>
              <w:t>基础采用浅基础（基坑深度0.5-0.8m），浇筑C20混凝土，确保承载能力满足分拣台、清洗池等设施安装要求。</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主体结构：采用半开放式钢结构棚体，立柱间距3-4m，屋面铺设彩钢板或防老化膜，配备遮阳网；棚体两侧设置可开启的通风口，确保通风良好。</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核心区域施工</w:t>
            </w:r>
            <w:r>
              <w:rPr>
                <w:rFonts w:hint="eastAsia" w:eastAsia="仿宋_GB2312" w:cs="Times New Roman"/>
                <w:color w:val="auto"/>
                <w:sz w:val="24"/>
                <w:szCs w:val="24"/>
                <w:highlight w:val="none"/>
                <w:lang w:val="en-US" w:eastAsia="zh-CN"/>
              </w:rPr>
              <w:t>：</w:t>
            </w:r>
            <w:r>
              <w:rPr>
                <w:rFonts w:hint="default" w:eastAsia="仿宋_GB2312" w:cs="Times New Roman"/>
                <w:color w:val="auto"/>
                <w:sz w:val="24"/>
                <w:szCs w:val="24"/>
                <w:highlight w:val="none"/>
                <w:lang w:val="en-US" w:eastAsia="zh-CN"/>
              </w:rPr>
              <w:t>地面工程：采用防滑、防渗混凝土地面（厚度≥15cm），表面拉毛处理；设置2‰的排水坡度，连接至废水收集沟；地面涂刷防腐涂料，便于清洗。</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分拣与清洗区：安装分拣台（钢结构，高度0.8-0.9m）、清洗池（不锈钢材质，深度0.5m），清洗池底部设置排水口，连接至废水收集沟；配备沥干架，确保菌菇沥干后包装。</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通风与温控：安装通风扇（风量≥6000m³/h），确保棚内温度控制在15-20℃；若夏季温度过高，可增设冷风机降温。</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eastAsia="仿宋_GB2312" w:cs="Times New Roman"/>
                <w:color w:val="auto"/>
                <w:sz w:val="24"/>
                <w:szCs w:val="24"/>
                <w:highlight w:val="none"/>
                <w:lang w:val="en-US" w:eastAsia="zh-CN"/>
              </w:rPr>
            </w:pPr>
            <w:r>
              <w:rPr>
                <w:rFonts w:hint="eastAsia" w:eastAsia="仿宋_GB2312" w:cs="Times New Roman"/>
                <w:color w:val="auto"/>
                <w:sz w:val="24"/>
                <w:szCs w:val="24"/>
                <w:highlight w:val="none"/>
                <w:lang w:val="en-US" w:eastAsia="zh-CN"/>
              </w:rPr>
              <w:t>1.9</w:t>
            </w:r>
            <w:r>
              <w:rPr>
                <w:rFonts w:hint="default" w:eastAsia="仿宋_GB2312" w:cs="Times New Roman"/>
                <w:color w:val="auto"/>
                <w:sz w:val="24"/>
                <w:szCs w:val="24"/>
                <w:highlight w:val="none"/>
                <w:lang w:val="en-US" w:eastAsia="zh-CN"/>
              </w:rPr>
              <w:t>冷库及分拣车间施工</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基础施工</w:t>
            </w:r>
            <w:r>
              <w:rPr>
                <w:rFonts w:hint="eastAsia" w:eastAsia="仿宋_GB2312" w:cs="Times New Roman"/>
                <w:color w:val="auto"/>
                <w:sz w:val="24"/>
                <w:szCs w:val="24"/>
                <w:highlight w:val="none"/>
                <w:lang w:val="en-US" w:eastAsia="zh-CN"/>
              </w:rPr>
              <w:t>：</w:t>
            </w:r>
            <w:r>
              <w:rPr>
                <w:rFonts w:hint="default" w:eastAsia="仿宋_GB2312" w:cs="Times New Roman"/>
                <w:color w:val="auto"/>
                <w:sz w:val="24"/>
                <w:szCs w:val="24"/>
                <w:highlight w:val="none"/>
                <w:lang w:val="en-US" w:eastAsia="zh-CN"/>
              </w:rPr>
              <w:t>冷库基础采用筏板基础，基坑开挖深度1.2-1.5m，铺设垫层后绑扎钢筋、安装模板，浇筑C30防水混凝土，确保防渗、抗冻性能。</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基础施工完成后，做防潮处理（铺设HDPE防潮膜），避免地下潮气进入冷库。</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冷库主体施工</w:t>
            </w:r>
            <w:r>
              <w:rPr>
                <w:rFonts w:hint="eastAsia" w:eastAsia="仿宋_GB2312" w:cs="Times New Roman"/>
                <w:color w:val="auto"/>
                <w:sz w:val="24"/>
                <w:szCs w:val="24"/>
                <w:highlight w:val="none"/>
                <w:lang w:val="en-US" w:eastAsia="zh-CN"/>
              </w:rPr>
              <w:t>：</w:t>
            </w:r>
            <w:r>
              <w:rPr>
                <w:rFonts w:hint="default" w:eastAsia="仿宋_GB2312" w:cs="Times New Roman"/>
                <w:color w:val="auto"/>
                <w:sz w:val="24"/>
                <w:szCs w:val="24"/>
                <w:highlight w:val="none"/>
                <w:lang w:val="en-US" w:eastAsia="zh-CN"/>
              </w:rPr>
              <w:t>采用聚氨酯夹芯保温板（厚度≥15cm）搭建冷库主体，板材拼接处采用密封胶密封，确保保温、密封性能；安装冷库专用门，配备门帘和防撞条。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制冷系统安装：安装压缩机、蒸发器、冷凝器等制冷设备，铺设制冷管道（采用铜管），管道需做保温处理；系统安装后进行打压试验，确保无泄漏。</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温控与监测：安装温度传感器和控制系统，确保库内温度可稳定控制在0-5℃；设置报警装置，当温度异常时及时提醒。</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分拣车间施工</w:t>
            </w:r>
            <w:r>
              <w:rPr>
                <w:rFonts w:hint="eastAsia" w:eastAsia="仿宋_GB2312" w:cs="Times New Roman"/>
                <w:color w:val="auto"/>
                <w:sz w:val="24"/>
                <w:szCs w:val="24"/>
                <w:highlight w:val="none"/>
                <w:lang w:val="en-US" w:eastAsia="zh-CN"/>
              </w:rPr>
              <w:t>：</w:t>
            </w:r>
            <w:r>
              <w:rPr>
                <w:rFonts w:hint="default" w:eastAsia="仿宋_GB2312" w:cs="Times New Roman"/>
                <w:color w:val="auto"/>
                <w:sz w:val="24"/>
                <w:szCs w:val="24"/>
                <w:highlight w:val="none"/>
                <w:lang w:val="en-US" w:eastAsia="zh-CN"/>
              </w:rPr>
              <w:t>主体结构采用钢筋混凝土框架结构或钢结构，墙体砌筑后抹灰平整，屋面铺设保温层和防水层。</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地面工程：采用防滑、防渗环氧地坪，设置2‰的排水坡度，连接至废水收集沟；地面需耐磨、易清洗，符合食品加工卫生要求。</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通风与照明：安装通风扇和排气管道，确保车间通风良好；配备防爆照明设备，保证分拣区域光照充足（光照强度≥300lux）。</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配套设施：安装分拣台、包装台、暂存架等设施，预留冷库出入口，确保分拣后的菌菇可快速送入冷库保鲜。</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eastAsia="仿宋_GB2312" w:cs="Times New Roman"/>
                <w:color w:val="auto"/>
                <w:sz w:val="24"/>
                <w:szCs w:val="24"/>
                <w:highlight w:val="none"/>
                <w:lang w:val="en-US" w:eastAsia="zh-CN"/>
              </w:rPr>
            </w:pPr>
            <w:r>
              <w:rPr>
                <w:rFonts w:hint="eastAsia" w:eastAsia="仿宋_GB2312" w:cs="Times New Roman"/>
                <w:color w:val="auto"/>
                <w:sz w:val="24"/>
                <w:szCs w:val="24"/>
                <w:highlight w:val="none"/>
                <w:lang w:val="en-US" w:eastAsia="zh-CN"/>
              </w:rPr>
              <w:t>1.10</w:t>
            </w:r>
            <w:r>
              <w:rPr>
                <w:rFonts w:hint="default" w:eastAsia="仿宋_GB2312" w:cs="Times New Roman"/>
                <w:color w:val="auto"/>
                <w:sz w:val="24"/>
                <w:szCs w:val="24"/>
                <w:highlight w:val="none"/>
                <w:lang w:val="en-US" w:eastAsia="zh-CN"/>
              </w:rPr>
              <w:t>烘干车间施工</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基础与主体</w:t>
            </w:r>
            <w:r>
              <w:rPr>
                <w:rFonts w:hint="eastAsia" w:eastAsia="仿宋_GB2312" w:cs="Times New Roman"/>
                <w:color w:val="auto"/>
                <w:sz w:val="24"/>
                <w:szCs w:val="24"/>
                <w:highlight w:val="none"/>
                <w:lang w:val="en-US" w:eastAsia="zh-CN"/>
              </w:rPr>
              <w:t>：</w:t>
            </w:r>
            <w:r>
              <w:rPr>
                <w:rFonts w:hint="default" w:eastAsia="仿宋_GB2312" w:cs="Times New Roman"/>
                <w:color w:val="auto"/>
                <w:sz w:val="24"/>
                <w:szCs w:val="24"/>
                <w:highlight w:val="none"/>
                <w:lang w:val="en-US" w:eastAsia="zh-CN"/>
              </w:rPr>
              <w:t>基础采用条形基础，基坑深度0.8-1.2m，浇筑C25混凝土，确保承载能力满足烘干设备安装要求。</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主体结构：采用钢结构或钢筋混凝土框架结构，墙体采用耐火砖砌筑（厚度≥24cm），确保防火性能；屋面铺设彩钢板，配备通风天窗。</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地面工程：采用耐高温、防渗混凝土地面（厚度≥20cm），表面涂刷耐高温涂料；设置3‰的排水坡度，连接至废水收集沟。</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烘干设备安装：</w:t>
            </w:r>
            <w:r>
              <w:rPr>
                <w:rFonts w:hint="eastAsia" w:eastAsia="仿宋_GB2312" w:cs="Times New Roman"/>
                <w:color w:val="auto"/>
                <w:sz w:val="24"/>
                <w:szCs w:val="24"/>
                <w:highlight w:val="none"/>
                <w:lang w:val="en-US" w:eastAsia="zh-CN"/>
              </w:rPr>
              <w:t>烘干采用电烘干</w:t>
            </w:r>
            <w:r>
              <w:rPr>
                <w:rFonts w:hint="default" w:eastAsia="仿宋_GB2312" w:cs="Times New Roman"/>
                <w:color w:val="auto"/>
                <w:sz w:val="24"/>
                <w:szCs w:val="24"/>
                <w:highlight w:val="none"/>
                <w:lang w:val="en-US" w:eastAsia="zh-CN"/>
              </w:rPr>
              <w:t>等，设备安装牢固，调试正常；</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通风与废气处理：安装强力通风扇和排烟管道，连接布袋除尘器（处理烟气中的颗粒物），排烟筒高度≥8m；确保车间内无烟气积聚，废气达标排放。</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r>
              <w:rPr>
                <w:rFonts w:hint="default" w:eastAsia="仿宋_GB2312" w:cs="Times New Roman"/>
                <w:color w:val="auto"/>
                <w:sz w:val="24"/>
                <w:szCs w:val="24"/>
                <w:highlight w:val="none"/>
                <w:lang w:val="en-US" w:eastAsia="zh-CN"/>
              </w:rPr>
              <w:t>安全设施：安装火灾报警器、灭火器、应急照明等安全设施；设置疏散通道，确保紧急情况下人员可快速撤离。</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eastAsia" w:ascii="Times New Roman" w:hAnsi="Times New Roman" w:eastAsia="仿宋_GB2312" w:cs="Times New Roman"/>
                <w:b/>
                <w:bCs/>
                <w:color w:val="auto"/>
                <w:sz w:val="24"/>
                <w:szCs w:val="24"/>
                <w:highlight w:val="none"/>
                <w:lang w:eastAsia="zh-CN"/>
              </w:rPr>
            </w:pPr>
            <w:r>
              <w:rPr>
                <w:rFonts w:hint="eastAsia" w:eastAsia="仿宋_GB2312" w:cs="Times New Roman"/>
                <w:b/>
                <w:bCs/>
                <w:color w:val="auto"/>
                <w:sz w:val="24"/>
                <w:szCs w:val="24"/>
                <w:highlight w:val="none"/>
                <w:lang w:val="en-US" w:eastAsia="zh-CN"/>
              </w:rPr>
              <w:t>2</w:t>
            </w:r>
            <w:r>
              <w:rPr>
                <w:rFonts w:hint="default" w:ascii="Times New Roman" w:hAnsi="Times New Roman" w:eastAsia="仿宋_GB2312" w:cs="Times New Roman"/>
                <w:b/>
                <w:bCs/>
                <w:color w:val="auto"/>
                <w:sz w:val="24"/>
                <w:szCs w:val="24"/>
                <w:highlight w:val="none"/>
              </w:rPr>
              <w:t>、施工</w:t>
            </w:r>
            <w:r>
              <w:rPr>
                <w:rFonts w:hint="eastAsia" w:eastAsia="仿宋_GB2312" w:cs="Times New Roman"/>
                <w:b/>
                <w:bCs/>
                <w:color w:val="auto"/>
                <w:sz w:val="24"/>
                <w:szCs w:val="24"/>
                <w:highlight w:val="none"/>
                <w:lang w:val="en-US" w:eastAsia="zh-CN"/>
              </w:rPr>
              <w:t>时序（进度安排）</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项目建设期为15个月（2025年</w:t>
            </w:r>
            <w:r>
              <w:rPr>
                <w:rFonts w:hint="eastAsia" w:eastAsia="仿宋_GB2312" w:cs="Times New Roman"/>
                <w:color w:val="auto"/>
                <w:sz w:val="24"/>
                <w:szCs w:val="24"/>
                <w:highlight w:val="none"/>
                <w:lang w:val="en-US" w:eastAsia="zh-CN"/>
              </w:rPr>
              <w:t>12</w:t>
            </w:r>
            <w:r>
              <w:rPr>
                <w:rFonts w:hint="default" w:ascii="Times New Roman" w:hAnsi="Times New Roman" w:eastAsia="仿宋_GB2312" w:cs="Times New Roman"/>
                <w:color w:val="auto"/>
                <w:sz w:val="24"/>
                <w:szCs w:val="24"/>
                <w:highlight w:val="none"/>
                <w:lang w:val="en-US" w:eastAsia="zh-CN"/>
              </w:rPr>
              <w:t>月—202</w:t>
            </w:r>
            <w:r>
              <w:rPr>
                <w:rFonts w:hint="eastAsia" w:eastAsia="仿宋_GB2312" w:cs="Times New Roman"/>
                <w:color w:val="auto"/>
                <w:sz w:val="24"/>
                <w:szCs w:val="24"/>
                <w:highlight w:val="none"/>
                <w:lang w:val="en-US" w:eastAsia="zh-CN"/>
              </w:rPr>
              <w:t>7</w:t>
            </w:r>
            <w:r>
              <w:rPr>
                <w:rFonts w:hint="default" w:ascii="Times New Roman" w:hAnsi="Times New Roman" w:eastAsia="仿宋_GB2312" w:cs="Times New Roman"/>
                <w:color w:val="auto"/>
                <w:sz w:val="24"/>
                <w:szCs w:val="24"/>
                <w:highlight w:val="none"/>
                <w:lang w:val="en-US" w:eastAsia="zh-CN"/>
              </w:rPr>
              <w:t>年</w:t>
            </w:r>
            <w:r>
              <w:rPr>
                <w:rFonts w:hint="eastAsia" w:eastAsia="仿宋_GB2312" w:cs="Times New Roman"/>
                <w:color w:val="auto"/>
                <w:sz w:val="24"/>
                <w:szCs w:val="24"/>
                <w:highlight w:val="none"/>
                <w:lang w:val="en-US" w:eastAsia="zh-CN"/>
              </w:rPr>
              <w:t>2</w:t>
            </w:r>
            <w:r>
              <w:rPr>
                <w:rFonts w:hint="default" w:ascii="Times New Roman" w:hAnsi="Times New Roman" w:eastAsia="仿宋_GB2312" w:cs="Times New Roman"/>
                <w:color w:val="auto"/>
                <w:sz w:val="24"/>
                <w:szCs w:val="24"/>
                <w:highlight w:val="none"/>
                <w:lang w:val="en-US" w:eastAsia="zh-CN"/>
              </w:rPr>
              <w:t xml:space="preserve">月）。 </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2025年</w:t>
            </w:r>
            <w:r>
              <w:rPr>
                <w:rFonts w:hint="eastAsia" w:eastAsia="仿宋_GB2312" w:cs="Times New Roman"/>
                <w:color w:val="auto"/>
                <w:sz w:val="24"/>
                <w:szCs w:val="24"/>
                <w:highlight w:val="none"/>
                <w:lang w:val="en-US" w:eastAsia="zh-CN"/>
              </w:rPr>
              <w:t>1</w:t>
            </w:r>
            <w:r>
              <w:rPr>
                <w:rFonts w:hint="default" w:ascii="Times New Roman" w:hAnsi="Times New Roman" w:eastAsia="仿宋_GB2312" w:cs="Times New Roman"/>
                <w:color w:val="auto"/>
                <w:sz w:val="24"/>
                <w:szCs w:val="24"/>
                <w:highlight w:val="none"/>
                <w:lang w:val="en-US" w:eastAsia="zh-CN"/>
              </w:rPr>
              <w:t>2月前初步设计报批；</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2026年1月前完成施工图设计及图纸审查、招投标；</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2026年</w:t>
            </w:r>
            <w:r>
              <w:rPr>
                <w:rFonts w:hint="eastAsia" w:eastAsia="仿宋_GB2312" w:cs="Times New Roman"/>
                <w:color w:val="auto"/>
                <w:sz w:val="24"/>
                <w:szCs w:val="24"/>
                <w:highlight w:val="none"/>
                <w:lang w:val="en-US" w:eastAsia="zh-CN"/>
              </w:rPr>
              <w:t>3</w:t>
            </w:r>
            <w:r>
              <w:rPr>
                <w:rFonts w:hint="default" w:ascii="Times New Roman" w:hAnsi="Times New Roman" w:eastAsia="仿宋_GB2312" w:cs="Times New Roman"/>
                <w:color w:val="auto"/>
                <w:sz w:val="24"/>
                <w:szCs w:val="24"/>
                <w:highlight w:val="none"/>
                <w:lang w:val="en-US" w:eastAsia="zh-CN"/>
              </w:rPr>
              <w:t>月-2026年10月项目施工建设；</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202</w:t>
            </w:r>
            <w:r>
              <w:rPr>
                <w:rFonts w:hint="eastAsia" w:eastAsia="仿宋_GB2312" w:cs="Times New Roman"/>
                <w:color w:val="auto"/>
                <w:sz w:val="24"/>
                <w:szCs w:val="24"/>
                <w:highlight w:val="none"/>
                <w:lang w:val="en-US" w:eastAsia="zh-CN"/>
              </w:rPr>
              <w:t>7</w:t>
            </w:r>
            <w:r>
              <w:rPr>
                <w:rFonts w:hint="default" w:ascii="Times New Roman" w:hAnsi="Times New Roman" w:eastAsia="仿宋_GB2312" w:cs="Times New Roman"/>
                <w:color w:val="auto"/>
                <w:sz w:val="24"/>
                <w:szCs w:val="24"/>
                <w:highlight w:val="none"/>
                <w:lang w:val="en-US" w:eastAsia="zh-CN"/>
              </w:rPr>
              <w:t>年</w:t>
            </w:r>
            <w:r>
              <w:rPr>
                <w:rFonts w:hint="eastAsia" w:eastAsia="仿宋_GB2312" w:cs="Times New Roman"/>
                <w:color w:val="auto"/>
                <w:sz w:val="24"/>
                <w:szCs w:val="24"/>
                <w:highlight w:val="none"/>
                <w:lang w:val="en-US" w:eastAsia="zh-CN"/>
              </w:rPr>
              <w:t>2</w:t>
            </w:r>
            <w:r>
              <w:rPr>
                <w:rFonts w:hint="default" w:ascii="Times New Roman" w:hAnsi="Times New Roman" w:eastAsia="仿宋_GB2312" w:cs="Times New Roman"/>
                <w:color w:val="auto"/>
                <w:sz w:val="24"/>
                <w:szCs w:val="24"/>
                <w:highlight w:val="none"/>
                <w:lang w:val="en-US" w:eastAsia="zh-CN"/>
              </w:rPr>
              <w:t>月竣工验收并投入使用。</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ascii="Times New Roman" w:hAnsi="Times New Roman" w:eastAsia="仿宋_GB2312" w:cs="Times New Roman"/>
                <w:b/>
                <w:bCs/>
                <w:color w:val="auto"/>
                <w:sz w:val="24"/>
                <w:szCs w:val="24"/>
                <w:highlight w:val="none"/>
              </w:rPr>
            </w:pPr>
            <w:r>
              <w:rPr>
                <w:rFonts w:hint="eastAsia" w:eastAsia="仿宋_GB2312" w:cs="Times New Roman"/>
                <w:b/>
                <w:bCs/>
                <w:color w:val="auto"/>
                <w:sz w:val="24"/>
                <w:szCs w:val="24"/>
                <w:highlight w:val="none"/>
                <w:lang w:val="en-US" w:eastAsia="zh-CN"/>
              </w:rPr>
              <w:t>3</w:t>
            </w:r>
            <w:r>
              <w:rPr>
                <w:rFonts w:hint="default" w:ascii="Times New Roman" w:hAnsi="Times New Roman" w:eastAsia="仿宋_GB2312" w:cs="Times New Roman"/>
                <w:b/>
                <w:bCs/>
                <w:color w:val="auto"/>
                <w:sz w:val="24"/>
                <w:szCs w:val="24"/>
                <w:highlight w:val="none"/>
              </w:rPr>
              <w:t>、</w:t>
            </w:r>
            <w:r>
              <w:rPr>
                <w:rFonts w:hint="default" w:ascii="Times New Roman" w:hAnsi="Times New Roman" w:eastAsia="仿宋_GB2312" w:cs="Times New Roman"/>
                <w:b/>
                <w:bCs/>
                <w:color w:val="auto"/>
                <w:sz w:val="24"/>
                <w:szCs w:val="24"/>
                <w:highlight w:val="none"/>
                <w:lang w:val="en-US" w:eastAsia="zh-CN"/>
              </w:rPr>
              <w:t>项目组织管理</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 xml:space="preserve">（1）组织机构设置 </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 xml:space="preserve">1）项目建设管理 </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成立泾源县菌菇产业融合发展建设项目领导小组，小组成员单位包括泾源县 人民政府、各局办。该小组专门负责本工程项目的规划、建设和协调等工作。各成员单位在项目实施过程中，要加强协作，密切配合，确保项目的顺利实施。项目建设责任主体为泾源县人民政府，负责项目招投标管理，负责日常监管，工程调度、环境监测、评估及验收工作。</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2）建立项目建设组织机构为保证项目建设如期进行，做好项目的建设管理工作，拟针对本项目成立建设领导小组进行建设管理，负责项目建设的具体操作。其主要职责是：认真做好项目的前期工作，着力落实项目建设资金，完成项目报批工作，切实搞好项目招投标，落实施工队伍，认真把好“质量、资金、进度”三关，按时按要求搞好项目竣工验收。</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 xml:space="preserve">（2）项目实施管理 </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1）进一步明确工作职责。各成员单位要明确任务，各负其责，密切配合，建立协调、高效的工作机制和责任制度，全力抓好本项目工程建设工作。发改局负责项目的申报、审批、投资计划的下达等前期工作和项目管理工作；财政局负责国家专项资金的管理，确保建设资金及时拨付和专户管理，确保资金专款专用，封闭运行；审计局负责对专项资金的使用进行监督检查和跟踪审计，杜绝挤占挪用现象的发生；建设局负责做好本项目工程实施的配合工作，精心组织，科学规划，加强管理，确保服务活动全面开展。</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 xml:space="preserve">2）切实加强项目监督管理。严格按照政府投资项目管理的有关规定，切实落实项目法人责任制、招投标制、工程监理制和合同管理制度，规范项目建设程序，确保工程质量。 </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 xml:space="preserve">3）及早做好项目运行所需劳力、资金、物质等方面。 </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4）强化项目管理。一切实搞好项目设计规划；二资金专款专用，严禁挪用，并定期公开项目进展及资金使用情况，接受群众监督；三搞好项目实施的全程监管，把好质量关，建设优质工程。</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eastAsia="仿宋_GB2312" w:cs="Times New Roman"/>
                <w:color w:val="auto"/>
                <w:sz w:val="24"/>
                <w:szCs w:val="24"/>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2703" w:hRule="atLeast"/>
          <w:jc w:val="center"/>
        </w:trPr>
        <w:tc>
          <w:tcPr>
            <w:tcW w:w="465" w:type="dxa"/>
            <w:tcBorders>
              <w:tl2br w:val="nil"/>
              <w:tr2bl w:val="nil"/>
            </w:tcBorders>
            <w:vAlign w:val="center"/>
          </w:tcPr>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szCs w:val="24"/>
                <w:highlight w:val="none"/>
                <w:lang w:eastAsia="zh-CN"/>
              </w:rPr>
            </w:pPr>
            <w:r>
              <w:rPr>
                <w:rFonts w:hint="default" w:ascii="Times New Roman" w:hAnsi="Times New Roman" w:eastAsia="仿宋_GB2312" w:cs="Times New Roman"/>
                <w:b/>
                <w:bCs/>
                <w:color w:val="auto"/>
                <w:sz w:val="24"/>
                <w:szCs w:val="24"/>
                <w:highlight w:val="none"/>
                <w:lang w:eastAsia="zh-CN"/>
              </w:rPr>
              <w:t>其他</w:t>
            </w:r>
          </w:p>
        </w:tc>
        <w:tc>
          <w:tcPr>
            <w:tcW w:w="8736" w:type="dxa"/>
            <w:gridSpan w:val="2"/>
            <w:tcBorders>
              <w:tl2br w:val="nil"/>
              <w:tr2bl w:val="nil"/>
            </w:tcBorders>
            <w:vAlign w:val="center"/>
          </w:tcPr>
          <w:p>
            <w:pPr>
              <w:tabs>
                <w:tab w:val="left" w:pos="411"/>
              </w:tabs>
              <w:adjustRightInd w:val="0"/>
              <w:snapToGrid w:val="0"/>
              <w:spacing w:line="360" w:lineRule="auto"/>
              <w:jc w:val="center"/>
              <w:rPr>
                <w:rFonts w:hint="default" w:eastAsia="仿宋_GB2312" w:cs="Times New Roman"/>
                <w:color w:val="auto"/>
                <w:sz w:val="24"/>
                <w:szCs w:val="24"/>
                <w:highlight w:val="none"/>
                <w:lang w:val="en-US" w:eastAsia="zh-CN"/>
              </w:rPr>
            </w:pPr>
            <w:r>
              <w:rPr>
                <w:rFonts w:hint="eastAsia" w:eastAsia="仿宋_GB2312" w:cs="Times New Roman"/>
                <w:color w:val="auto"/>
                <w:sz w:val="24"/>
                <w:szCs w:val="24"/>
                <w:highlight w:val="none"/>
                <w:lang w:val="en-US" w:eastAsia="zh-CN"/>
              </w:rPr>
              <w:t>无</w:t>
            </w:r>
          </w:p>
        </w:tc>
      </w:tr>
    </w:tbl>
    <w:p>
      <w:pPr>
        <w:bidi w:val="0"/>
        <w:rPr>
          <w:rFonts w:hint="eastAsia"/>
          <w:color w:val="auto"/>
          <w:highlight w:val="none"/>
        </w:rPr>
        <w:sectPr>
          <w:pgSz w:w="11907" w:h="16840"/>
          <w:pgMar w:top="1701" w:right="1417" w:bottom="1701"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31"/>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三、</w:t>
      </w:r>
      <w:r>
        <w:rPr>
          <w:rFonts w:hint="eastAsia" w:ascii="黑体" w:hAnsi="黑体" w:eastAsia="黑体"/>
          <w:snapToGrid w:val="0"/>
          <w:color w:val="auto"/>
          <w:sz w:val="30"/>
          <w:szCs w:val="30"/>
          <w:highlight w:val="none"/>
          <w:lang w:eastAsia="zh-CN"/>
        </w:rPr>
        <w:t>生态</w:t>
      </w:r>
      <w:r>
        <w:rPr>
          <w:rFonts w:hint="eastAsia" w:ascii="黑体" w:hAnsi="黑体" w:eastAsia="黑体"/>
          <w:snapToGrid w:val="0"/>
          <w:color w:val="auto"/>
          <w:sz w:val="30"/>
          <w:szCs w:val="30"/>
          <w:highlight w:val="none"/>
        </w:rPr>
        <w:t>环境质量现状、保护目标及评价标准</w:t>
      </w:r>
    </w:p>
    <w:tbl>
      <w:tblPr>
        <w:tblStyle w:val="35"/>
        <w:tblW w:w="9201"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532"/>
        <w:gridCol w:w="8669"/>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2608" w:hRule="atLeast"/>
          <w:jc w:val="center"/>
        </w:trPr>
        <w:tc>
          <w:tcPr>
            <w:tcW w:w="532" w:type="dxa"/>
            <w:tcBorders>
              <w:tl2br w:val="nil"/>
              <w:tr2bl w:val="nil"/>
            </w:tcBorders>
            <w:vAlign w:val="center"/>
          </w:tcPr>
          <w:p>
            <w:pPr>
              <w:adjustRightInd w:val="0"/>
              <w:snapToGrid w:val="0"/>
              <w:jc w:val="center"/>
              <w:rPr>
                <w:rFonts w:hint="default" w:ascii="Times New Roman" w:hAnsi="Times New Roman" w:eastAsia="仿宋_GB2312" w:cs="Times New Roman"/>
                <w:b/>
                <w:bCs/>
                <w:color w:val="auto"/>
                <w:kern w:val="0"/>
                <w:sz w:val="24"/>
                <w:highlight w:val="none"/>
                <w:lang w:eastAsia="zh-CN"/>
              </w:rPr>
            </w:pPr>
          </w:p>
          <w:p>
            <w:pPr>
              <w:adjustRightInd w:val="0"/>
              <w:snapToGrid w:val="0"/>
              <w:jc w:val="center"/>
              <w:rPr>
                <w:rFonts w:hint="default" w:ascii="Times New Roman" w:hAnsi="Times New Roman" w:eastAsia="仿宋_GB2312" w:cs="Times New Roman"/>
                <w:b/>
                <w:bCs/>
                <w:color w:val="auto"/>
                <w:kern w:val="0"/>
                <w:sz w:val="24"/>
                <w:highlight w:val="none"/>
                <w:lang w:eastAsia="zh-CN"/>
              </w:rPr>
            </w:pPr>
          </w:p>
          <w:p>
            <w:pPr>
              <w:adjustRightInd w:val="0"/>
              <w:snapToGrid w:val="0"/>
              <w:jc w:val="center"/>
              <w:rPr>
                <w:rFonts w:hint="default" w:ascii="Times New Roman" w:hAnsi="Times New Roman" w:eastAsia="仿宋_GB2312" w:cs="Times New Roman"/>
                <w:b/>
                <w:bCs/>
                <w:color w:val="auto"/>
                <w:kern w:val="0"/>
                <w:sz w:val="24"/>
                <w:highlight w:val="none"/>
                <w:lang w:eastAsia="zh-CN"/>
              </w:rPr>
            </w:pPr>
          </w:p>
          <w:p>
            <w:pPr>
              <w:adjustRightInd w:val="0"/>
              <w:snapToGrid w:val="0"/>
              <w:jc w:val="center"/>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both"/>
              <w:textAlignment w:val="auto"/>
              <w:rPr>
                <w:rFonts w:hint="default" w:ascii="Times New Roman" w:hAnsi="Times New Roman" w:eastAsia="仿宋_GB2312" w:cs="Times New Roman"/>
                <w:b/>
                <w:bCs/>
                <w:color w:val="auto"/>
                <w:kern w:val="0"/>
                <w:sz w:val="24"/>
                <w:highlight w:val="none"/>
                <w:lang w:eastAsia="zh-CN"/>
              </w:rPr>
            </w:pPr>
          </w:p>
          <w:p>
            <w:pPr>
              <w:pStyle w:val="13"/>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pStyle w:val="13"/>
              <w:keepNext w:val="0"/>
              <w:keepLines w:val="0"/>
              <w:pageBreakBefore w:val="0"/>
              <w:widowControl w:val="0"/>
              <w:kinsoku/>
              <w:wordWrap/>
              <w:overflowPunct/>
              <w:topLinePunct w:val="0"/>
              <w:autoSpaceDE/>
              <w:autoSpaceDN/>
              <w:bidi w:val="0"/>
              <w:spacing w:line="240" w:lineRule="auto"/>
              <w:ind w:left="0"/>
              <w:textAlignment w:val="auto"/>
              <w:rPr>
                <w:rFonts w:hint="default"/>
                <w:color w:val="auto"/>
                <w:highlight w:val="none"/>
                <w:lang w:eastAsia="zh-CN"/>
              </w:rPr>
            </w:pPr>
          </w:p>
          <w:p>
            <w:pPr>
              <w:pStyle w:val="9"/>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color w:val="auto"/>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r>
              <w:rPr>
                <w:rFonts w:hint="default" w:ascii="Times New Roman" w:hAnsi="Times New Roman" w:eastAsia="仿宋_GB2312" w:cs="Times New Roman"/>
                <w:b/>
                <w:bCs/>
                <w:color w:val="auto"/>
                <w:kern w:val="0"/>
                <w:sz w:val="24"/>
                <w:highlight w:val="none"/>
                <w:lang w:eastAsia="zh-CN"/>
              </w:rPr>
              <w:t>生态环境现状</w:t>
            </w:r>
          </w:p>
          <w:p>
            <w:pPr>
              <w:pStyle w:val="9"/>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textAlignment w:val="auto"/>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color w:val="auto"/>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adjustRightInd w:val="0"/>
              <w:snapToGrid w:val="0"/>
              <w:jc w:val="center"/>
              <w:rPr>
                <w:rFonts w:hint="default" w:ascii="Times New Roman" w:hAnsi="Times New Roman" w:eastAsia="仿宋_GB2312" w:cs="Times New Roman"/>
                <w:b/>
                <w:bCs/>
                <w:color w:val="auto"/>
                <w:kern w:val="0"/>
                <w:sz w:val="24"/>
                <w:highlight w:val="none"/>
                <w:lang w:eastAsia="zh-CN"/>
              </w:rPr>
            </w:pPr>
            <w:r>
              <w:rPr>
                <w:rFonts w:hint="default" w:ascii="Times New Roman" w:hAnsi="Times New Roman" w:eastAsia="仿宋_GB2312" w:cs="Times New Roman"/>
                <w:b/>
                <w:bCs/>
                <w:color w:val="auto"/>
                <w:kern w:val="0"/>
                <w:sz w:val="24"/>
                <w:highlight w:val="none"/>
                <w:lang w:eastAsia="zh-CN"/>
              </w:rPr>
              <w:t>生态环境现状</w:t>
            </w: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9"/>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color w:val="auto"/>
                <w:highlight w:val="none"/>
                <w:lang w:eastAsia="zh-CN"/>
              </w:rPr>
            </w:pPr>
          </w:p>
          <w:p>
            <w:pPr>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pStyle w:val="9"/>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pStyle w:val="10"/>
              <w:rPr>
                <w:rFonts w:hint="default" w:ascii="Times New Roman" w:hAnsi="Times New Roman" w:eastAsia="仿宋_GB2312" w:cs="Times New Roman"/>
                <w:b/>
                <w:bCs/>
                <w:color w:val="auto"/>
                <w:kern w:val="0"/>
                <w:sz w:val="24"/>
                <w:highlight w:val="none"/>
                <w:lang w:eastAsia="zh-CN"/>
              </w:rPr>
            </w:pPr>
          </w:p>
          <w:p>
            <w:pPr>
              <w:pStyle w:val="34"/>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仿宋_GB2312" w:cs="Times New Roman"/>
                <w:b/>
                <w:bCs/>
                <w:color w:val="auto"/>
                <w:kern w:val="0"/>
                <w:sz w:val="24"/>
                <w:highlight w:val="none"/>
                <w:lang w:eastAsia="zh-CN"/>
              </w:rPr>
            </w:pPr>
            <w:r>
              <w:rPr>
                <w:rFonts w:hint="default" w:ascii="Times New Roman" w:hAnsi="Times New Roman" w:eastAsia="仿宋_GB2312" w:cs="Times New Roman"/>
                <w:b/>
                <w:bCs/>
                <w:color w:val="auto"/>
                <w:kern w:val="0"/>
                <w:sz w:val="24"/>
                <w:highlight w:val="none"/>
                <w:lang w:eastAsia="zh-CN"/>
              </w:rPr>
              <w:t>生态环境现状</w:t>
            </w:r>
          </w:p>
          <w:p>
            <w:pPr>
              <w:pStyle w:val="9"/>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color w:val="auto"/>
                <w:highlight w:val="none"/>
                <w:lang w:eastAsia="zh-CN"/>
              </w:rPr>
            </w:pPr>
          </w:p>
          <w:p>
            <w:pPr>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color w:val="auto"/>
                <w:highlight w:val="none"/>
                <w:lang w:eastAsia="zh-CN"/>
              </w:rPr>
            </w:pPr>
          </w:p>
          <w:p>
            <w:pPr>
              <w:pStyle w:val="9"/>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color w:val="auto"/>
                <w:highlight w:val="none"/>
                <w:lang w:eastAsia="zh-CN"/>
              </w:rPr>
            </w:pPr>
          </w:p>
          <w:p>
            <w:pPr>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仿宋_GB2312" w:cs="Times New Roman"/>
                <w:color w:val="auto"/>
                <w:highlight w:val="none"/>
                <w:lang w:eastAsia="zh-CN"/>
              </w:rPr>
            </w:pPr>
          </w:p>
          <w:p>
            <w:pPr>
              <w:pStyle w:val="9"/>
              <w:keepNext w:val="0"/>
              <w:keepLines w:val="0"/>
              <w:pageBreakBefore w:val="0"/>
              <w:widowControl w:val="0"/>
              <w:kinsoku/>
              <w:wordWrap/>
              <w:overflowPunct/>
              <w:topLinePunct w:val="0"/>
              <w:autoSpaceDE/>
              <w:autoSpaceDN/>
              <w:bidi w:val="0"/>
              <w:ind w:left="0" w:firstLine="0" w:firstLineChars="0"/>
              <w:jc w:val="center"/>
              <w:textAlignment w:val="auto"/>
              <w:rPr>
                <w:rFonts w:hint="default" w:ascii="Times New Roman" w:hAnsi="Times New Roman" w:eastAsia="仿宋_GB2312" w:cs="Times New Roman"/>
                <w:color w:val="auto"/>
                <w:highlight w:val="none"/>
                <w:lang w:eastAsia="zh-CN"/>
              </w:rPr>
            </w:pPr>
          </w:p>
          <w:p>
            <w:pPr>
              <w:keepNext w:val="0"/>
              <w:keepLines w:val="0"/>
              <w:pageBreakBefore w:val="0"/>
              <w:widowControl w:val="0"/>
              <w:kinsoku/>
              <w:wordWrap/>
              <w:overflowPunct/>
              <w:topLinePunct w:val="0"/>
              <w:autoSpaceDE/>
              <w:autoSpaceDN/>
              <w:bidi w:val="0"/>
              <w:ind w:left="0" w:firstLine="0" w:firstLineChars="0"/>
              <w:jc w:val="center"/>
              <w:textAlignment w:val="auto"/>
              <w:rPr>
                <w:rFonts w:hint="default" w:ascii="Times New Roman" w:hAnsi="Times New Roman" w:eastAsia="仿宋_GB2312" w:cs="Times New Roman"/>
                <w:color w:val="auto"/>
                <w:highlight w:val="none"/>
                <w:lang w:eastAsia="zh-CN"/>
              </w:rPr>
            </w:pPr>
          </w:p>
          <w:p>
            <w:pPr>
              <w:keepNext w:val="0"/>
              <w:keepLines w:val="0"/>
              <w:pageBreakBefore w:val="0"/>
              <w:widowControl w:val="0"/>
              <w:kinsoku/>
              <w:wordWrap/>
              <w:overflowPunct/>
              <w:topLinePunct w:val="0"/>
              <w:autoSpaceDE/>
              <w:autoSpaceDN/>
              <w:bidi w:val="0"/>
              <w:adjustRightInd w:val="0"/>
              <w:snapToGrid w:val="0"/>
              <w:ind w:left="0" w:firstLine="0" w:firstLineChars="0"/>
              <w:jc w:val="center"/>
              <w:textAlignment w:val="auto"/>
              <w:rPr>
                <w:rFonts w:hint="default" w:ascii="Times New Roman" w:hAnsi="Times New Roman" w:eastAsia="仿宋_GB2312" w:cs="Times New Roman"/>
                <w:color w:val="auto"/>
                <w:highlight w:val="none"/>
                <w:lang w:eastAsia="zh-CN"/>
              </w:rPr>
            </w:pPr>
          </w:p>
          <w:p>
            <w:pPr>
              <w:keepNext w:val="0"/>
              <w:keepLines w:val="0"/>
              <w:pageBreakBefore w:val="0"/>
              <w:widowControl w:val="0"/>
              <w:kinsoku/>
              <w:wordWrap/>
              <w:overflowPunct/>
              <w:topLinePunct w:val="0"/>
              <w:autoSpaceDE/>
              <w:autoSpaceDN/>
              <w:bidi w:val="0"/>
              <w:ind w:left="0"/>
              <w:jc w:val="center"/>
              <w:textAlignment w:val="auto"/>
              <w:rPr>
                <w:rFonts w:hint="default" w:ascii="Times New Roman" w:hAnsi="Times New Roman" w:eastAsia="仿宋_GB2312" w:cs="Times New Roman"/>
                <w:color w:val="auto"/>
                <w:highlight w:val="none"/>
                <w:lang w:eastAsia="zh-CN"/>
              </w:rPr>
            </w:pPr>
          </w:p>
          <w:p>
            <w:pPr>
              <w:pStyle w:val="13"/>
              <w:keepNext w:val="0"/>
              <w:keepLines w:val="0"/>
              <w:pageBreakBefore w:val="0"/>
              <w:widowControl w:val="0"/>
              <w:kinsoku/>
              <w:wordWrap/>
              <w:overflowPunct/>
              <w:topLinePunct w:val="0"/>
              <w:autoSpaceDE/>
              <w:autoSpaceDN/>
              <w:bidi w:val="0"/>
              <w:ind w:left="0"/>
              <w:jc w:val="center"/>
              <w:textAlignment w:val="auto"/>
              <w:rPr>
                <w:rFonts w:hint="default" w:ascii="Times New Roman" w:hAnsi="Times New Roman" w:eastAsia="仿宋_GB2312" w:cs="Times New Roman"/>
                <w:color w:val="auto"/>
                <w:highlight w:val="none"/>
                <w:lang w:eastAsia="zh-CN"/>
              </w:rPr>
            </w:pPr>
          </w:p>
          <w:p>
            <w:pPr>
              <w:keepNext w:val="0"/>
              <w:keepLines w:val="0"/>
              <w:pageBreakBefore w:val="0"/>
              <w:widowControl w:val="0"/>
              <w:kinsoku/>
              <w:wordWrap/>
              <w:overflowPunct/>
              <w:topLinePunct w:val="0"/>
              <w:autoSpaceDE/>
              <w:autoSpaceDN/>
              <w:bidi w:val="0"/>
              <w:ind w:left="0"/>
              <w:jc w:val="center"/>
              <w:textAlignment w:val="auto"/>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20"/>
              <w:rPr>
                <w:rFonts w:hint="default" w:ascii="Times New Roman" w:hAnsi="Times New Roman" w:eastAsia="仿宋_GB2312" w:cs="Times New Roman"/>
                <w:color w:val="auto"/>
                <w:highlight w:val="none"/>
                <w:lang w:eastAsia="zh-CN"/>
              </w:rPr>
            </w:pPr>
          </w:p>
          <w:p>
            <w:pPr>
              <w:pStyle w:val="13"/>
              <w:ind w:left="0" w:leftChars="0" w:firstLine="0" w:firstLineChars="0"/>
              <w:rPr>
                <w:rFonts w:hint="default"/>
                <w:color w:val="auto"/>
                <w:highlight w:val="none"/>
                <w:lang w:eastAsia="zh-CN"/>
              </w:rPr>
            </w:pPr>
          </w:p>
        </w:tc>
        <w:tc>
          <w:tcPr>
            <w:tcW w:w="8669" w:type="dxa"/>
            <w:tcBorders>
              <w:tl2br w:val="nil"/>
              <w:tr2bl w:val="nil"/>
            </w:tcBorders>
          </w:tcPr>
          <w:p>
            <w:pPr>
              <w:adjustRightInd w:val="0"/>
              <w:snapToGrid w:val="0"/>
              <w:spacing w:line="360" w:lineRule="auto"/>
              <w:jc w:val="both"/>
              <w:rPr>
                <w:rFonts w:hint="default" w:ascii="Times New Roman" w:hAnsi="Times New Roman" w:eastAsia="仿宋_GB2312" w:cs="Times New Roman"/>
                <w:b/>
                <w:bCs/>
                <w:color w:val="auto"/>
                <w:sz w:val="24"/>
                <w:szCs w:val="24"/>
                <w:highlight w:val="none"/>
              </w:rPr>
            </w:pPr>
            <w:r>
              <w:rPr>
                <w:rFonts w:hint="default" w:ascii="Times New Roman" w:hAnsi="Times New Roman" w:eastAsia="仿宋_GB2312" w:cs="Times New Roman"/>
                <w:b/>
                <w:bCs/>
                <w:color w:val="auto"/>
                <w:sz w:val="24"/>
                <w:highlight w:val="none"/>
              </w:rPr>
              <w:t>1、</w:t>
            </w:r>
            <w:r>
              <w:rPr>
                <w:rFonts w:hint="default" w:ascii="Times New Roman" w:hAnsi="Times New Roman" w:eastAsia="仿宋_GB2312" w:cs="Times New Roman"/>
                <w:b/>
                <w:bCs/>
                <w:color w:val="auto"/>
                <w:sz w:val="24"/>
                <w:szCs w:val="24"/>
                <w:highlight w:val="none"/>
              </w:rPr>
              <w:t>生态环境状况</w:t>
            </w:r>
          </w:p>
          <w:p>
            <w:pPr>
              <w:adjustRightInd w:val="0"/>
              <w:snapToGrid w:val="0"/>
              <w:spacing w:line="360" w:lineRule="auto"/>
              <w:jc w:val="both"/>
              <w:rPr>
                <w:rFonts w:hint="default" w:ascii="Times New Roman" w:hAnsi="Times New Roman" w:eastAsia="仿宋_GB2312" w:cs="Times New Roman"/>
                <w:b/>
                <w:bCs/>
                <w:color w:val="auto"/>
                <w:sz w:val="24"/>
                <w:szCs w:val="24"/>
                <w:highlight w:val="none"/>
                <w:lang w:val="en-US" w:eastAsia="zh-CN"/>
              </w:rPr>
            </w:pPr>
            <w:r>
              <w:rPr>
                <w:rFonts w:hint="default" w:ascii="Times New Roman" w:hAnsi="Times New Roman" w:eastAsia="仿宋_GB2312" w:cs="Times New Roman"/>
                <w:b/>
                <w:bCs/>
                <w:color w:val="auto"/>
                <w:sz w:val="24"/>
                <w:szCs w:val="24"/>
                <w:highlight w:val="none"/>
              </w:rPr>
              <w:t>1.</w:t>
            </w:r>
            <w:r>
              <w:rPr>
                <w:rFonts w:hint="default" w:ascii="Times New Roman" w:hAnsi="Times New Roman" w:eastAsia="仿宋_GB2312" w:cs="Times New Roman"/>
                <w:b/>
                <w:bCs/>
                <w:color w:val="auto"/>
                <w:sz w:val="24"/>
                <w:szCs w:val="24"/>
                <w:highlight w:val="none"/>
                <w:lang w:val="en-US" w:eastAsia="zh-CN"/>
              </w:rPr>
              <w:t>1 主体功能区划</w:t>
            </w:r>
          </w:p>
          <w:p>
            <w:pPr>
              <w:adjustRightInd w:val="0"/>
              <w:snapToGrid w:val="0"/>
              <w:spacing w:line="360" w:lineRule="auto"/>
              <w:ind w:firstLine="480" w:firstLineChars="200"/>
              <w:rPr>
                <w:rFonts w:hint="eastAsia"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本项目位于</w:t>
            </w:r>
            <w:r>
              <w:rPr>
                <w:rFonts w:hint="eastAsia" w:eastAsia="仿宋_GB2312" w:cs="Times New Roman"/>
                <w:color w:val="auto"/>
                <w:kern w:val="2"/>
                <w:sz w:val="24"/>
                <w:szCs w:val="24"/>
                <w:highlight w:val="none"/>
                <w:lang w:val="en-US" w:eastAsia="zh-CN" w:bidi="ar-SA"/>
              </w:rPr>
              <w:t>固原市泾源县</w:t>
            </w:r>
            <w:r>
              <w:rPr>
                <w:rFonts w:hint="default" w:ascii="Times New Roman" w:hAnsi="Times New Roman" w:eastAsia="仿宋_GB2312" w:cs="Times New Roman"/>
                <w:color w:val="auto"/>
                <w:kern w:val="2"/>
                <w:sz w:val="24"/>
                <w:szCs w:val="24"/>
                <w:highlight w:val="none"/>
                <w:lang w:val="en-US" w:eastAsia="zh-CN" w:bidi="ar-SA"/>
              </w:rPr>
              <w:t>，根据《宁夏回族自治区主体功能区规划》，本项目</w:t>
            </w:r>
            <w:r>
              <w:rPr>
                <w:rFonts w:hint="eastAsia" w:eastAsia="仿宋_GB2312" w:cs="Times New Roman"/>
                <w:color w:val="auto"/>
                <w:kern w:val="2"/>
                <w:sz w:val="24"/>
                <w:szCs w:val="24"/>
                <w:highlight w:val="none"/>
                <w:lang w:val="en-US" w:eastAsia="zh-CN" w:bidi="ar-SA"/>
              </w:rPr>
              <w:t>位于国家级</w:t>
            </w:r>
            <w:r>
              <w:rPr>
                <w:rFonts w:hint="default" w:ascii="Times New Roman" w:hAnsi="Times New Roman" w:eastAsia="仿宋_GB2312" w:cs="Times New Roman"/>
                <w:color w:val="auto"/>
                <w:kern w:val="2"/>
                <w:sz w:val="24"/>
                <w:szCs w:val="24"/>
                <w:highlight w:val="none"/>
                <w:lang w:val="en-US" w:eastAsia="zh-CN" w:bidi="ar-SA"/>
              </w:rPr>
              <w:t>重点生态功能区内。重点生态功能区功能定位是</w:t>
            </w:r>
            <w:r>
              <w:rPr>
                <w:rFonts w:hint="eastAsia" w:eastAsia="仿宋_GB2312" w:cs="Times New Roman"/>
                <w:color w:val="auto"/>
                <w:kern w:val="2"/>
                <w:sz w:val="24"/>
                <w:szCs w:val="24"/>
                <w:highlight w:val="none"/>
                <w:lang w:val="en-US" w:eastAsia="zh-CN" w:bidi="ar-SA"/>
              </w:rPr>
              <w:t>：</w:t>
            </w:r>
            <w:r>
              <w:rPr>
                <w:rFonts w:hint="default" w:ascii="Times New Roman" w:hAnsi="Times New Roman" w:eastAsia="仿宋_GB2312" w:cs="Times New Roman"/>
                <w:color w:val="auto"/>
                <w:kern w:val="2"/>
                <w:sz w:val="24"/>
                <w:szCs w:val="24"/>
                <w:highlight w:val="none"/>
                <w:lang w:val="en-US" w:eastAsia="zh-CN" w:bidi="ar-SA"/>
              </w:rPr>
              <w:t>保障国家生态安全的重要区域，西北重要的生态功能区，人与自然和谐相处的示范区。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发展方向：限制开发生态区域以修复生态、保护环境、提供生态产品为首要任务，增强水源涵养、水土保持、防风固沙、维护湿地生态等功能，提高生态产品供给的能力，因地制宜地发展资源环境可承载的适宜产业，引导超载人口逐步有序转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水源涵养型。推进土石山区天然林保护和南部山区、中部干旱带围栏封育，治理土壤侵蚀，维护与重建森林草原、湿地等生态系统。严格保护具有水源涵养功能的自然植被，限制或禁止无序采矿、毁林开荒、开垦草地等行为。加大植树造林力度，减少面源污染。</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水土保持型。大力推行节水灌溉，发展旱作节水农业。禁止陡坡垦殖。加强小流域综合治理，恢复退化植被。严格对资源开发和建设项目的监管，加大矿山环境整治修复力度，控制人为因素对土壤的侵蚀。大力发展草畜产业、马铃薯产业、林果产业、中药材产业等适合当地资源环境的特色农业和加工业，拓宽农民增收渠道，解决农民长远生计，巩固退耕还林成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防风固沙型。加大退牧还草力度，实施围栏禁牧恢复草地植被。转变传统畜牧业生产方式，推行舍饲圈养。加强对内陆河流的规划管理，保护沙区湿地。推进沙漠化地区防沙治沙，加强防护林带建设和监管。在有条件地区发展扬黄灌溉农业和节水补灌农业，适度发展矿产采掘和加工业。禁止发展高耗水工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开发管制原则：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仿宋_GB2312" w:cs="Times New Roman"/>
                <w:color w:val="auto"/>
                <w:kern w:val="2"/>
                <w:sz w:val="24"/>
                <w:szCs w:val="24"/>
                <w:highlight w:val="none"/>
                <w:lang w:val="en-US" w:eastAsia="zh-CN" w:bidi="ar-SA"/>
              </w:rPr>
            </w:pPr>
            <w:r>
              <w:rPr>
                <w:rFonts w:hint="default" w:eastAsia="仿宋_GB2312" w:cs="Times New Roman"/>
                <w:color w:val="auto"/>
                <w:kern w:val="2"/>
                <w:sz w:val="24"/>
                <w:szCs w:val="24"/>
                <w:highlight w:val="none"/>
                <w:lang w:val="en-US" w:eastAsia="zh-CN" w:bidi="ar-SA"/>
              </w:rPr>
              <w:t>-对各类开发活动进行严格管制，尽可能减少对自然生态系统的干扰，不损害生态系统的稳定性和完整性。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仿宋_GB2312" w:cs="Times New Roman"/>
                <w:color w:val="auto"/>
                <w:kern w:val="2"/>
                <w:sz w:val="24"/>
                <w:szCs w:val="24"/>
                <w:highlight w:val="none"/>
                <w:lang w:val="en-US" w:eastAsia="zh-CN" w:bidi="ar-SA"/>
              </w:rPr>
            </w:pPr>
            <w:r>
              <w:rPr>
                <w:rFonts w:hint="default" w:eastAsia="仿宋_GB2312" w:cs="Times New Roman"/>
                <w:color w:val="auto"/>
                <w:kern w:val="2"/>
                <w:sz w:val="24"/>
                <w:szCs w:val="24"/>
                <w:highlight w:val="none"/>
                <w:lang w:val="en-US" w:eastAsia="zh-CN" w:bidi="ar-SA"/>
              </w:rPr>
              <w:t>-矿产资源开发、适宜产业发展以及基础设施建设</w:t>
            </w:r>
            <w:r>
              <w:rPr>
                <w:rFonts w:hint="eastAsia" w:eastAsia="仿宋_GB2312" w:cs="Times New Roman"/>
                <w:color w:val="auto"/>
                <w:kern w:val="2"/>
                <w:sz w:val="24"/>
                <w:szCs w:val="24"/>
                <w:highlight w:val="none"/>
                <w:lang w:val="en-US" w:eastAsia="zh-CN" w:bidi="ar-SA"/>
              </w:rPr>
              <w:t>：</w:t>
            </w:r>
            <w:r>
              <w:rPr>
                <w:rFonts w:hint="default" w:eastAsia="仿宋_GB2312" w:cs="Times New Roman"/>
                <w:color w:val="auto"/>
                <w:kern w:val="2"/>
                <w:sz w:val="24"/>
                <w:szCs w:val="24"/>
                <w:highlight w:val="none"/>
                <w:lang w:val="en-US" w:eastAsia="zh-CN" w:bidi="ar-SA"/>
              </w:rPr>
              <w:t>都要控制在尽可能小的空间范围之内，并做到耕地、天然地、林地、河流、湖泊等农业和绿色生态空间面积不减少，在有条件地区之间，要通过水系、绿带等构建生态廊道，避免形成“生态孤岛”。</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仿宋_GB2312" w:cs="Times New Roman"/>
                <w:color w:val="auto"/>
                <w:kern w:val="2"/>
                <w:sz w:val="24"/>
                <w:szCs w:val="24"/>
                <w:highlight w:val="none"/>
                <w:lang w:val="en-US" w:eastAsia="zh-CN" w:bidi="ar-SA"/>
              </w:rPr>
            </w:pPr>
            <w:r>
              <w:rPr>
                <w:rFonts w:hint="default" w:eastAsia="仿宋_GB2312" w:cs="Times New Roman"/>
                <w:color w:val="auto"/>
                <w:kern w:val="2"/>
                <w:sz w:val="24"/>
                <w:szCs w:val="24"/>
                <w:highlight w:val="none"/>
                <w:lang w:val="en-US" w:eastAsia="zh-CN" w:bidi="ar-SA"/>
              </w:rPr>
              <w:t>-严格控制开发强度</w:t>
            </w:r>
            <w:r>
              <w:rPr>
                <w:rFonts w:hint="eastAsia" w:eastAsia="仿宋_GB2312" w:cs="Times New Roman"/>
                <w:color w:val="auto"/>
                <w:kern w:val="2"/>
                <w:sz w:val="24"/>
                <w:szCs w:val="24"/>
                <w:highlight w:val="none"/>
                <w:lang w:val="en-US" w:eastAsia="zh-CN" w:bidi="ar-SA"/>
              </w:rPr>
              <w:t>，</w:t>
            </w:r>
            <w:r>
              <w:rPr>
                <w:rFonts w:hint="default" w:eastAsia="仿宋_GB2312" w:cs="Times New Roman"/>
                <w:color w:val="auto"/>
                <w:kern w:val="2"/>
                <w:sz w:val="24"/>
                <w:szCs w:val="24"/>
                <w:highlight w:val="none"/>
                <w:lang w:val="en-US" w:eastAsia="zh-CN" w:bidi="ar-SA"/>
              </w:rPr>
              <w:t>逐步减少农村居民点占用的空间，腾出更多的</w:t>
            </w:r>
            <w:r>
              <w:rPr>
                <w:rFonts w:hint="eastAsia" w:eastAsia="仿宋_GB2312" w:cs="Times New Roman"/>
                <w:color w:val="auto"/>
                <w:kern w:val="2"/>
                <w:sz w:val="24"/>
                <w:szCs w:val="24"/>
                <w:highlight w:val="none"/>
                <w:lang w:val="en-US" w:eastAsia="zh-CN" w:bidi="ar-SA"/>
              </w:rPr>
              <w:t>空间</w:t>
            </w:r>
            <w:r>
              <w:rPr>
                <w:rFonts w:hint="default" w:eastAsia="仿宋_GB2312" w:cs="Times New Roman"/>
                <w:color w:val="auto"/>
                <w:kern w:val="2"/>
                <w:sz w:val="24"/>
                <w:szCs w:val="24"/>
                <w:highlight w:val="none"/>
                <w:lang w:val="en-US" w:eastAsia="zh-CN" w:bidi="ar-SA"/>
              </w:rPr>
              <w:t>维系生态系统的良性循环。城镇建设与开发区要依托现有资源环境承载能力相对较强的城镇集中布局、据点式开发、禁止成片蔓延式扩张。开发区要</w:t>
            </w:r>
            <w:r>
              <w:rPr>
                <w:rFonts w:hint="eastAsia" w:eastAsia="仿宋_GB2312" w:cs="Times New Roman"/>
                <w:color w:val="auto"/>
                <w:kern w:val="2"/>
                <w:sz w:val="24"/>
                <w:szCs w:val="24"/>
                <w:highlight w:val="none"/>
                <w:lang w:val="en-US" w:eastAsia="zh-CN" w:bidi="ar-SA"/>
              </w:rPr>
              <w:t>建成</w:t>
            </w:r>
            <w:r>
              <w:rPr>
                <w:rFonts w:hint="default" w:eastAsia="仿宋_GB2312" w:cs="Times New Roman"/>
                <w:color w:val="auto"/>
                <w:kern w:val="2"/>
                <w:sz w:val="24"/>
                <w:szCs w:val="24"/>
                <w:highlight w:val="none"/>
                <w:lang w:val="en-US" w:eastAsia="zh-CN" w:bidi="ar-SA"/>
              </w:rPr>
              <w:t>低消耗、可循环、少排放、“零污染”的生态型开发区。--实行更加严格的行业准入条件，严把项目准入关。在不损害生态系统功能的前提下，因地制宜地适度发展旅游、农林牧产品生产和加工、观光休闲农业等产业，积极发展服务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仿宋_GB2312" w:cs="Times New Roman"/>
                <w:color w:val="auto"/>
                <w:kern w:val="2"/>
                <w:sz w:val="24"/>
                <w:szCs w:val="24"/>
                <w:highlight w:val="none"/>
                <w:lang w:val="en-US" w:eastAsia="zh-CN" w:bidi="ar-SA"/>
              </w:rPr>
            </w:pPr>
            <w:r>
              <w:rPr>
                <w:rFonts w:hint="default" w:eastAsia="仿宋_GB2312" w:cs="Times New Roman"/>
                <w:color w:val="auto"/>
                <w:kern w:val="2"/>
                <w:sz w:val="24"/>
                <w:szCs w:val="24"/>
                <w:highlight w:val="none"/>
                <w:lang w:val="en-US" w:eastAsia="zh-CN" w:bidi="ar-SA"/>
              </w:rPr>
              <w:t>-在现有城镇布局基础上进一步集约开发、集中建设，重点规划和建设资源环境承载能力相对较强的县城和中心镇、大村庄，提高综合承载能力。引导大部分人口向城市地区转移，少部分人口向区域内的县城和中心城镇转移。生态移民点应尽量布局到县城和中心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仿宋_GB2312" w:cs="Times New Roman"/>
                <w:color w:val="auto"/>
                <w:kern w:val="2"/>
                <w:sz w:val="24"/>
                <w:szCs w:val="24"/>
                <w:highlight w:val="none"/>
                <w:lang w:val="en-US" w:eastAsia="zh-CN" w:bidi="ar-SA"/>
              </w:rPr>
            </w:pPr>
            <w:r>
              <w:rPr>
                <w:rFonts w:hint="default" w:eastAsia="仿宋_GB2312" w:cs="Times New Roman"/>
                <w:color w:val="auto"/>
                <w:kern w:val="2"/>
                <w:sz w:val="24"/>
                <w:szCs w:val="24"/>
                <w:highlight w:val="none"/>
                <w:lang w:val="en-US" w:eastAsia="zh-CN" w:bidi="ar-SA"/>
              </w:rPr>
              <w:t>-加强县城、中心镇、中心村的道路、供排水、垃圾污水处理等基础设施建设和农村饮水安全工程建设。积极推广沼气、风能、太阳能等清洁能源，努力解决山区农村的能源需求。健全公共服务体系，改善教育、医疗、文化等设施条件，提高公共服务供给能力和水平。</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仿宋_GB2312" w:cs="Times New Roman"/>
                <w:color w:val="auto"/>
                <w:kern w:val="2"/>
                <w:sz w:val="24"/>
                <w:szCs w:val="24"/>
                <w:highlight w:val="none"/>
                <w:lang w:val="en-US" w:eastAsia="zh-CN" w:bidi="ar-SA"/>
              </w:rPr>
            </w:pPr>
            <w:r>
              <w:rPr>
                <w:rFonts w:hint="default" w:eastAsia="仿宋_GB2312" w:cs="Times New Roman"/>
                <w:color w:val="auto"/>
                <w:kern w:val="2"/>
                <w:sz w:val="24"/>
                <w:szCs w:val="24"/>
                <w:highlight w:val="none"/>
                <w:lang w:val="en-US" w:eastAsia="zh-CN" w:bidi="ar-SA"/>
              </w:rPr>
              <w:t>-大力实施扶贫开发</w:t>
            </w:r>
            <w:r>
              <w:rPr>
                <w:rFonts w:hint="eastAsia" w:eastAsia="仿宋_GB2312" w:cs="Times New Roman"/>
                <w:color w:val="auto"/>
                <w:kern w:val="2"/>
                <w:sz w:val="24"/>
                <w:szCs w:val="24"/>
                <w:highlight w:val="none"/>
                <w:lang w:val="en-US" w:eastAsia="zh-CN" w:bidi="ar-SA"/>
              </w:rPr>
              <w:t>，</w:t>
            </w:r>
            <w:r>
              <w:rPr>
                <w:rFonts w:hint="default" w:eastAsia="仿宋_GB2312" w:cs="Times New Roman"/>
                <w:color w:val="auto"/>
                <w:kern w:val="2"/>
                <w:sz w:val="24"/>
                <w:szCs w:val="24"/>
                <w:highlight w:val="none"/>
                <w:lang w:val="en-US" w:eastAsia="zh-CN" w:bidi="ar-SA"/>
              </w:rPr>
              <w:t>加快实施教育移民、生态移民</w:t>
            </w:r>
            <w:r>
              <w:rPr>
                <w:rFonts w:hint="eastAsia" w:eastAsia="仿宋_GB2312" w:cs="Times New Roman"/>
                <w:color w:val="auto"/>
                <w:kern w:val="2"/>
                <w:sz w:val="24"/>
                <w:szCs w:val="24"/>
                <w:highlight w:val="none"/>
                <w:lang w:val="en-US" w:eastAsia="zh-CN" w:bidi="ar-SA"/>
              </w:rPr>
              <w:t>：</w:t>
            </w:r>
            <w:r>
              <w:rPr>
                <w:rFonts w:hint="default" w:eastAsia="仿宋_GB2312" w:cs="Times New Roman"/>
                <w:color w:val="auto"/>
                <w:kern w:val="2"/>
                <w:sz w:val="24"/>
                <w:szCs w:val="24"/>
                <w:highlight w:val="none"/>
                <w:lang w:val="en-US" w:eastAsia="zh-CN" w:bidi="ar-SA"/>
              </w:rPr>
              <w:t>产业移民和劳务移民，减轻人口超载对生态环境的压力。</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eastAsia="仿宋_GB2312" w:cs="Times New Roman"/>
                <w:color w:val="auto"/>
                <w:sz w:val="24"/>
                <w:szCs w:val="24"/>
                <w:highlight w:val="none"/>
                <w:lang w:val="en-US" w:eastAsia="zh-CN"/>
              </w:rPr>
              <w:t>本项目为菌菇种植项目</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lang w:val="en-US" w:eastAsia="zh-CN"/>
              </w:rPr>
              <w:t>项目实施后</w:t>
            </w:r>
            <w:r>
              <w:rPr>
                <w:rFonts w:hint="eastAsia" w:ascii="Times New Roman" w:hAnsi="Times New Roman" w:eastAsia="仿宋_GB2312" w:cs="Times New Roman"/>
                <w:color w:val="auto"/>
                <w:sz w:val="24"/>
                <w:szCs w:val="24"/>
                <w:lang w:eastAsia="zh-CN"/>
              </w:rPr>
              <w:t>可有效增强区域的水源涵养能力，维护与重建周边森林草原、湿地等生态系统，严格保护具有水源涵养功能的自然植被，减少因水土流失等造成的面源污染，对区域生态环境的改善与保护起到积极作用。同时，项目在建设过程中将严格遵循开发管制原则，对各类开发活动进行严格管理，控制开发强度，尽可能减少对自然生态系统的干扰，确保生态系统的稳定性和完整性。</w:t>
            </w:r>
            <w:r>
              <w:rPr>
                <w:rFonts w:hint="eastAsia" w:eastAsia="仿宋_GB2312" w:cs="Times New Roman"/>
                <w:color w:val="auto"/>
                <w:sz w:val="24"/>
                <w:szCs w:val="24"/>
                <w:lang w:eastAsia="zh-CN"/>
              </w:rPr>
              <w:t>项目建设符合《宁夏回族自治区主体功能区规划》要求。</w:t>
            </w:r>
          </w:p>
          <w:p>
            <w:pPr>
              <w:adjustRightInd w:val="0"/>
              <w:snapToGrid w:val="0"/>
              <w:spacing w:line="360" w:lineRule="auto"/>
              <w:jc w:val="both"/>
              <w:rPr>
                <w:rFonts w:hint="default" w:ascii="Times New Roman" w:hAnsi="Times New Roman" w:eastAsia="仿宋_GB2312" w:cs="Times New Roman"/>
                <w:b/>
                <w:bCs/>
                <w:color w:val="auto"/>
                <w:sz w:val="24"/>
                <w:szCs w:val="24"/>
                <w:highlight w:val="none"/>
                <w:lang w:eastAsia="zh-CN"/>
              </w:rPr>
            </w:pPr>
            <w:r>
              <w:rPr>
                <w:rFonts w:hint="default" w:ascii="Times New Roman" w:hAnsi="Times New Roman" w:eastAsia="仿宋_GB2312" w:cs="Times New Roman"/>
                <w:b/>
                <w:bCs/>
                <w:color w:val="auto"/>
                <w:sz w:val="24"/>
                <w:szCs w:val="24"/>
                <w:highlight w:val="none"/>
              </w:rPr>
              <w:t>1.2</w:t>
            </w:r>
            <w:r>
              <w:rPr>
                <w:rFonts w:hint="default" w:ascii="Times New Roman" w:hAnsi="Times New Roman" w:eastAsia="仿宋_GB2312" w:cs="Times New Roman"/>
                <w:b/>
                <w:bCs/>
                <w:color w:val="auto"/>
                <w:sz w:val="24"/>
                <w:szCs w:val="24"/>
                <w:highlight w:val="none"/>
                <w:lang w:val="en-US" w:eastAsia="zh-CN"/>
              </w:rPr>
              <w:t xml:space="preserve"> 生态功能区划</w:t>
            </w:r>
          </w:p>
          <w:p>
            <w:pPr>
              <w:keepNext w:val="0"/>
              <w:keepLines w:val="0"/>
              <w:pageBreakBefore w:val="0"/>
              <w:kinsoku/>
              <w:wordWrap/>
              <w:overflowPunct/>
              <w:topLinePunct w:val="0"/>
              <w:bidi w:val="0"/>
              <w:adjustRightInd/>
              <w:snapToGrid/>
              <w:spacing w:line="360" w:lineRule="auto"/>
              <w:ind w:firstLine="480" w:firstLineChars="200"/>
              <w:jc w:val="both"/>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sz w:val="24"/>
                <w:szCs w:val="24"/>
              </w:rPr>
              <w:t>根据《宁夏生态功能区划》（2003.10），宁夏生态功能区划共划分3个一级区，10个二级区，37个三级区。对照宁夏生态功能区划图可知，本项目位于生态功能三级分区内，所在区域属于</w:t>
            </w:r>
            <w:r>
              <w:rPr>
                <w:rFonts w:hint="eastAsia" w:ascii="Times New Roman" w:hAnsi="Times New Roman" w:eastAsia="仿宋_GB2312" w:cs="Times New Roman"/>
                <w:color w:val="auto"/>
                <w:sz w:val="24"/>
                <w:szCs w:val="24"/>
                <w:lang w:val="en-US" w:eastAsia="zh-CN"/>
              </w:rPr>
              <w:t>I</w:t>
            </w:r>
            <w:r>
              <w:rPr>
                <w:rFonts w:hint="eastAsia" w:eastAsia="仿宋_GB2312" w:cs="Times New Roman"/>
                <w:color w:val="auto"/>
                <w:sz w:val="24"/>
                <w:szCs w:val="24"/>
                <w:lang w:val="en-US" w:eastAsia="zh-CN"/>
              </w:rPr>
              <w:t>1-1</w:t>
            </w:r>
            <w:r>
              <w:rPr>
                <w:rFonts w:hint="eastAsia" w:ascii="Times New Roman" w:hAnsi="Times New Roman" w:eastAsia="仿宋_GB2312" w:cs="Times New Roman"/>
                <w:color w:val="auto"/>
                <w:sz w:val="24"/>
                <w:szCs w:val="24"/>
                <w:lang w:val="en-US" w:eastAsia="zh-CN"/>
              </w:rPr>
              <w:t>六盘山南段水源涵养林生态功能区</w:t>
            </w:r>
            <w:r>
              <w:rPr>
                <w:rFonts w:hint="default" w:ascii="Times New Roman" w:hAnsi="Times New Roman" w:eastAsia="仿宋_GB2312" w:cs="Times New Roman"/>
                <w:color w:val="auto"/>
                <w:sz w:val="24"/>
                <w:szCs w:val="24"/>
              </w:rPr>
              <w:t>，</w:t>
            </w:r>
            <w:r>
              <w:rPr>
                <w:rFonts w:hint="default" w:ascii="Times New Roman" w:hAnsi="Times New Roman" w:eastAsia="仿宋_GB2312" w:cs="Times New Roman"/>
                <w:color w:val="auto"/>
                <w:kern w:val="2"/>
                <w:sz w:val="24"/>
                <w:szCs w:val="24"/>
                <w:highlight w:val="none"/>
                <w:lang w:val="en-US" w:eastAsia="zh-CN" w:bidi="ar-SA"/>
              </w:rPr>
              <w:t>本项目与</w:t>
            </w:r>
            <w:r>
              <w:rPr>
                <w:rFonts w:hint="default" w:ascii="Times New Roman" w:hAnsi="Times New Roman" w:eastAsia="仿宋_GB2312" w:cs="Times New Roman"/>
                <w:color w:val="auto"/>
                <w:sz w:val="24"/>
                <w:szCs w:val="24"/>
                <w:highlight w:val="none"/>
              </w:rPr>
              <w:t>宁夏生态功能区划</w:t>
            </w:r>
            <w:r>
              <w:rPr>
                <w:rFonts w:hint="default" w:ascii="Times New Roman" w:hAnsi="Times New Roman" w:eastAsia="仿宋_GB2312" w:cs="Times New Roman"/>
                <w:color w:val="auto"/>
                <w:kern w:val="2"/>
                <w:sz w:val="24"/>
                <w:szCs w:val="24"/>
                <w:highlight w:val="none"/>
                <w:lang w:val="en-US" w:eastAsia="zh-CN" w:bidi="ar-SA"/>
              </w:rPr>
              <w:t>关系详见附图</w:t>
            </w:r>
            <w:r>
              <w:rPr>
                <w:rFonts w:hint="eastAsia" w:eastAsia="仿宋_GB2312" w:cs="Times New Roman"/>
                <w:color w:val="auto"/>
                <w:kern w:val="2"/>
                <w:sz w:val="24"/>
                <w:szCs w:val="24"/>
                <w:highlight w:val="none"/>
                <w:lang w:val="en-US" w:eastAsia="zh-CN" w:bidi="ar-SA"/>
              </w:rPr>
              <w:t>16</w:t>
            </w:r>
            <w:r>
              <w:rPr>
                <w:rFonts w:hint="default" w:ascii="Times New Roman" w:hAnsi="Times New Roman" w:eastAsia="仿宋_GB2312" w:cs="Times New Roman"/>
                <w:color w:val="auto"/>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240" w:lineRule="auto"/>
              <w:ind w:firstLine="420"/>
              <w:jc w:val="left"/>
              <w:textAlignment w:val="auto"/>
              <w:rPr>
                <w:b/>
                <w:color w:val="auto"/>
                <w:kern w:val="0"/>
              </w:rPr>
            </w:pPr>
            <w:r>
              <w:rPr>
                <w:color w:val="auto"/>
                <w:kern w:val="0"/>
                <w:sz w:val="21"/>
                <w:szCs w:val="21"/>
              </w:rPr>
              <w:t>表</w:t>
            </w:r>
            <w:r>
              <w:rPr>
                <w:rFonts w:hint="eastAsia"/>
                <w:color w:val="auto"/>
                <w:kern w:val="0"/>
                <w:sz w:val="21"/>
                <w:szCs w:val="21"/>
                <w:lang w:val="en-US" w:eastAsia="zh-CN"/>
              </w:rPr>
              <w:t>8</w:t>
            </w:r>
            <w:r>
              <w:rPr>
                <w:color w:val="auto"/>
                <w:kern w:val="0"/>
              </w:rPr>
              <w:t xml:space="preserve">               </w:t>
            </w:r>
            <w:r>
              <w:rPr>
                <w:b/>
                <w:color w:val="auto"/>
                <w:kern w:val="0"/>
              </w:rPr>
              <w:t xml:space="preserve">    </w:t>
            </w:r>
            <w:r>
              <w:rPr>
                <w:rFonts w:hint="eastAsia"/>
                <w:b/>
                <w:color w:val="auto"/>
                <w:kern w:val="0"/>
                <w:lang w:eastAsia="zh-CN"/>
              </w:rPr>
              <w:t>本项目所在区域主体功能区</w:t>
            </w:r>
            <w:r>
              <w:rPr>
                <w:b/>
                <w:color w:val="auto"/>
                <w:kern w:val="0"/>
              </w:rPr>
              <w:t>表</w:t>
            </w:r>
          </w:p>
          <w:tbl>
            <w:tblPr>
              <w:tblStyle w:val="36"/>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9"/>
              <w:gridCol w:w="1446"/>
              <w:gridCol w:w="1731"/>
              <w:gridCol w:w="40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1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b/>
                      <w:bCs/>
                      <w:color w:val="auto"/>
                      <w:sz w:val="21"/>
                      <w:szCs w:val="21"/>
                      <w:vertAlign w:val="baseline"/>
                      <w:lang w:eastAsia="zh-CN"/>
                    </w:rPr>
                  </w:pPr>
                  <w:r>
                    <w:rPr>
                      <w:rFonts w:hint="eastAsia" w:ascii="宋体" w:hAnsi="宋体" w:eastAsia="宋体" w:cs="宋体"/>
                      <w:b/>
                      <w:bCs/>
                      <w:color w:val="auto"/>
                      <w:sz w:val="21"/>
                      <w:szCs w:val="21"/>
                      <w:vertAlign w:val="baseline"/>
                      <w:lang w:eastAsia="zh-CN"/>
                    </w:rPr>
                    <w:t>一级区</w:t>
                  </w:r>
                </w:p>
              </w:tc>
              <w:tc>
                <w:tcPr>
                  <w:tcW w:w="144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b/>
                      <w:bCs/>
                      <w:color w:val="auto"/>
                      <w:sz w:val="21"/>
                      <w:szCs w:val="21"/>
                      <w:vertAlign w:val="baseline"/>
                      <w:lang w:eastAsia="zh-CN"/>
                    </w:rPr>
                  </w:pPr>
                  <w:r>
                    <w:rPr>
                      <w:rFonts w:hint="eastAsia" w:ascii="宋体" w:hAnsi="宋体" w:eastAsia="宋体" w:cs="宋体"/>
                      <w:b/>
                      <w:bCs/>
                      <w:color w:val="auto"/>
                      <w:sz w:val="21"/>
                      <w:szCs w:val="21"/>
                      <w:vertAlign w:val="baseline"/>
                      <w:lang w:eastAsia="zh-CN"/>
                    </w:rPr>
                    <w:t>二级区</w:t>
                  </w:r>
                </w:p>
              </w:tc>
              <w:tc>
                <w:tcPr>
                  <w:tcW w:w="1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b/>
                      <w:bCs/>
                      <w:color w:val="auto"/>
                      <w:sz w:val="21"/>
                      <w:szCs w:val="21"/>
                      <w:vertAlign w:val="baseline"/>
                      <w:lang w:eastAsia="zh-CN"/>
                    </w:rPr>
                  </w:pPr>
                  <w:r>
                    <w:rPr>
                      <w:rFonts w:hint="eastAsia" w:ascii="宋体" w:hAnsi="宋体" w:eastAsia="宋体" w:cs="宋体"/>
                      <w:b/>
                      <w:bCs/>
                      <w:color w:val="auto"/>
                      <w:sz w:val="21"/>
                      <w:szCs w:val="21"/>
                      <w:vertAlign w:val="baseline"/>
                      <w:lang w:eastAsia="zh-CN"/>
                    </w:rPr>
                    <w:t>三级区</w:t>
                  </w:r>
                </w:p>
              </w:tc>
              <w:tc>
                <w:tcPr>
                  <w:tcW w:w="40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eastAsia="宋体" w:cs="宋体"/>
                      <w:b/>
                      <w:bCs/>
                      <w:color w:val="auto"/>
                      <w:sz w:val="21"/>
                      <w:szCs w:val="21"/>
                      <w:vertAlign w:val="baseline"/>
                      <w:lang w:val="en-US" w:eastAsia="zh-CN"/>
                    </w:rPr>
                  </w:pPr>
                  <w:r>
                    <w:rPr>
                      <w:rFonts w:hint="eastAsia" w:ascii="宋体" w:hAnsi="宋体" w:cs="宋体"/>
                      <w:b/>
                      <w:bCs/>
                      <w:color w:val="auto"/>
                      <w:sz w:val="21"/>
                      <w:szCs w:val="21"/>
                      <w:vertAlign w:val="baseline"/>
                      <w:lang w:val="en-US" w:eastAsia="zh-CN"/>
                    </w:rPr>
                    <w:t>主要生态特点、问题及措施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南部黄土丘陵水土流失区</w:t>
                  </w:r>
                </w:p>
              </w:tc>
              <w:tc>
                <w:tcPr>
                  <w:tcW w:w="144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六盘山森林灌丛草甸生态亚区</w:t>
                  </w:r>
                </w:p>
              </w:tc>
              <w:tc>
                <w:tcPr>
                  <w:tcW w:w="1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eastAsia="宋体" w:cs="Times New Roman"/>
                      <w:color w:val="auto"/>
                      <w:sz w:val="21"/>
                      <w:szCs w:val="21"/>
                      <w:lang w:val="en-US" w:eastAsia="zh-CN"/>
                    </w:rPr>
                    <w:t>I1①六盘山南段水源涵养林自然保护生态功能区</w:t>
                  </w:r>
                </w:p>
              </w:tc>
              <w:tc>
                <w:tcPr>
                  <w:tcW w:w="40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s="Times New Roman"/>
                      <w:color w:val="auto"/>
                      <w:sz w:val="21"/>
                      <w:szCs w:val="21"/>
                      <w:lang w:val="en-US" w:eastAsia="zh-CN"/>
                    </w:rPr>
                  </w:pPr>
                  <w:r>
                    <w:rPr>
                      <w:rFonts w:hint="eastAsia" w:eastAsia="宋体" w:cs="Times New Roman"/>
                      <w:color w:val="auto"/>
                      <w:sz w:val="21"/>
                      <w:szCs w:val="21"/>
                      <w:lang w:val="en-US" w:eastAsia="zh-CN"/>
                    </w:rPr>
                    <w:t>森林生态系统，具有涵养水源和生物多样性保护的生态服务功能，对水土流失高度敏感。按自然保护区的总体规划，加强对现有林地的保护。天然林人工更新及人工促进天然更新等营林措施。加速人工林建设，切实保护好珍稀动物植物资源。</w:t>
                  </w:r>
                </w:p>
              </w:tc>
            </w:tr>
          </w:tbl>
          <w:p>
            <w:pPr>
              <w:tabs>
                <w:tab w:val="left" w:pos="6510"/>
              </w:tabs>
              <w:adjustRightInd w:val="0"/>
              <w:snapToGrid w:val="0"/>
              <w:spacing w:line="360" w:lineRule="auto"/>
              <w:ind w:firstLine="481" w:firstLineChars="200"/>
              <w:jc w:val="both"/>
              <w:rPr>
                <w:rFonts w:hint="default" w:ascii="Times New Roman" w:hAnsi="Times New Roman" w:eastAsia="仿宋_GB2312" w:cs="Times New Roman"/>
                <w:color w:val="auto"/>
                <w:sz w:val="24"/>
                <w:szCs w:val="24"/>
                <w:highlight w:val="none"/>
                <w:lang w:val="en-US" w:eastAsia="zh-CN"/>
              </w:rPr>
            </w:pPr>
            <w:r>
              <w:rPr>
                <w:rFonts w:hint="eastAsia" w:eastAsia="仿宋_GB2312" w:cs="Times New Roman"/>
                <w:b/>
                <w:bCs/>
                <w:color w:val="auto"/>
                <w:sz w:val="24"/>
                <w:szCs w:val="24"/>
                <w:highlight w:val="none"/>
                <w:lang w:val="en-US" w:eastAsia="zh-CN"/>
              </w:rPr>
              <w:t>分区特征描述：</w:t>
            </w:r>
            <w:r>
              <w:rPr>
                <w:rFonts w:hint="default" w:ascii="Times New Roman" w:hAnsi="Times New Roman" w:eastAsia="仿宋_GB2312" w:cs="Times New Roman"/>
                <w:color w:val="auto"/>
                <w:sz w:val="24"/>
                <w:szCs w:val="24"/>
                <w:highlight w:val="none"/>
                <w:lang w:val="en-US" w:eastAsia="zh-CN"/>
              </w:rPr>
              <w:t>本生态功能区位于六盘山南段，大部分是国家级自然保护区，林地面积约占50%，主要林种有天然次生阔叶林、人工林和天然灌木组成。林下还分布有中旱生或旱生草甸植被;在山顶部位分布有苔草、紫色风毛菊紫羊茅、鬼箭锦鸡儿和其它亚高山草甸植被作为国家级自然保护区，除了具有涵养水源的生态服务功能外，还体现在森林生态系统的生物多样性方面，据不完全统计，有维管束植物128科、609属、1839种,其中蕨类植物28种,裸子植物21种,被子植物1790种。森林动物中有昆虫500多种，陆生脊椎动物207种，列入国家级保护的动物有金钱豹、麝、红腹锦鸡、金雕等。</w:t>
            </w:r>
          </w:p>
          <w:p>
            <w:pPr>
              <w:tabs>
                <w:tab w:val="left" w:pos="6510"/>
              </w:tabs>
              <w:adjustRightInd w:val="0"/>
              <w:snapToGrid w:val="0"/>
              <w:spacing w:line="360" w:lineRule="auto"/>
              <w:ind w:firstLine="480" w:firstLineChars="200"/>
              <w:jc w:val="both"/>
              <w:rPr>
                <w:rFonts w:hint="default" w:ascii="Times New Roman" w:hAnsi="Times New Roman" w:eastAsia="仿宋_GB2312" w:cs="Times New Roman"/>
                <w:color w:val="auto"/>
                <w:kern w:val="24"/>
                <w:sz w:val="24"/>
                <w:szCs w:val="24"/>
                <w:lang w:val="en-US" w:eastAsia="zh-CN" w:bidi="ar-SA"/>
              </w:rPr>
            </w:pPr>
            <w:r>
              <w:rPr>
                <w:rFonts w:hint="eastAsia" w:eastAsia="仿宋_GB2312" w:cs="Times New Roman"/>
                <w:color w:val="auto"/>
                <w:sz w:val="24"/>
                <w:szCs w:val="24"/>
                <w:highlight w:val="none"/>
                <w:lang w:val="en-US" w:eastAsia="zh-CN"/>
              </w:rPr>
              <w:t>项目所在区域位于泾源县，项目建设内容为</w:t>
            </w:r>
            <w:r>
              <w:rPr>
                <w:rFonts w:hint="default" w:ascii="Times New Roman" w:hAnsi="Times New Roman" w:eastAsia="仿宋_GB2312" w:cs="Times New Roman"/>
                <w:b w:val="0"/>
                <w:bCs/>
                <w:color w:val="auto"/>
                <w:spacing w:val="0"/>
                <w:kern w:val="0"/>
                <w:sz w:val="24"/>
                <w:szCs w:val="24"/>
                <w:lang w:val="en-US" w:eastAsia="zh-CN" w:bidi="ar-SA"/>
              </w:rPr>
              <w:t>出菇棚、养菌棚</w:t>
            </w:r>
            <w:r>
              <w:rPr>
                <w:rFonts w:hint="eastAsia" w:eastAsia="仿宋_GB2312" w:cs="Times New Roman"/>
                <w:b w:val="0"/>
                <w:bCs/>
                <w:color w:val="auto"/>
                <w:spacing w:val="0"/>
                <w:kern w:val="0"/>
                <w:sz w:val="24"/>
                <w:szCs w:val="24"/>
                <w:lang w:val="en-US" w:eastAsia="zh-CN" w:bidi="ar-SA"/>
              </w:rPr>
              <w:t>、菌棒加工设施、烘干设施、冷库及分拣设施</w:t>
            </w:r>
            <w:r>
              <w:rPr>
                <w:rFonts w:hint="default" w:ascii="Times New Roman" w:hAnsi="Times New Roman" w:eastAsia="仿宋_GB2312" w:cs="Times New Roman"/>
                <w:b w:val="0"/>
                <w:bCs/>
                <w:color w:val="auto"/>
                <w:spacing w:val="0"/>
                <w:kern w:val="0"/>
                <w:sz w:val="24"/>
                <w:szCs w:val="24"/>
                <w:lang w:val="en-US" w:eastAsia="zh-CN" w:bidi="ar-SA"/>
              </w:rPr>
              <w:t>等设施</w:t>
            </w:r>
            <w:r>
              <w:rPr>
                <w:rFonts w:hint="eastAsia" w:eastAsia="仿宋_GB2312" w:cs="Times New Roman"/>
                <w:color w:val="auto"/>
                <w:sz w:val="24"/>
                <w:szCs w:val="24"/>
                <w:highlight w:val="none"/>
                <w:lang w:val="en-US" w:eastAsia="zh-CN"/>
              </w:rPr>
              <w:t>，</w:t>
            </w:r>
            <w:r>
              <w:rPr>
                <w:rFonts w:hint="default" w:ascii="Times New Roman" w:hAnsi="Times New Roman" w:eastAsia="仿宋_GB2312" w:cs="Times New Roman"/>
                <w:color w:val="auto"/>
                <w:kern w:val="24"/>
                <w:sz w:val="24"/>
                <w:szCs w:val="24"/>
                <w:lang w:val="en-US" w:eastAsia="zh-CN" w:bidi="ar-SA"/>
              </w:rPr>
              <w:t>项目施工期严格控制施工红线范围，设置施工围挡，对表土进行堆存和苫盖，避开雨季施工，施工结束后，对永久占地四周临时扰动区域进行播撒草籽覆绿，通过采取以上措施，项目建设对所在地的生态环境影响较小。因此，本项目符合《宁夏生态功能区划》（2003.12）中的相关要求。</w:t>
            </w:r>
          </w:p>
          <w:p>
            <w:pPr>
              <w:adjustRightInd w:val="0"/>
              <w:snapToGrid w:val="0"/>
              <w:spacing w:line="360" w:lineRule="auto"/>
              <w:jc w:val="both"/>
              <w:rPr>
                <w:rFonts w:hint="default" w:ascii="Times New Roman" w:hAnsi="Times New Roman" w:eastAsia="仿宋_GB2312" w:cs="Times New Roman"/>
                <w:b/>
                <w:bCs/>
                <w:color w:val="auto"/>
                <w:sz w:val="24"/>
                <w:szCs w:val="24"/>
                <w:highlight w:val="none"/>
                <w:lang w:val="en-US" w:eastAsia="zh-CN"/>
              </w:rPr>
            </w:pPr>
            <w:r>
              <w:rPr>
                <w:rFonts w:hint="eastAsia" w:ascii="Times New Roman" w:hAnsi="Times New Roman" w:eastAsia="仿宋_GB2312" w:cs="Times New Roman"/>
                <w:b/>
                <w:bCs/>
                <w:color w:val="auto"/>
                <w:sz w:val="24"/>
                <w:szCs w:val="24"/>
                <w:highlight w:val="none"/>
                <w:lang w:val="en-US" w:eastAsia="zh-CN"/>
              </w:rPr>
              <w:t>1.3水土流失重点防治区划</w:t>
            </w:r>
          </w:p>
          <w:p>
            <w:pPr>
              <w:keepNext w:val="0"/>
              <w:keepLines w:val="0"/>
              <w:pageBreakBefore w:val="0"/>
              <w:kinsoku/>
              <w:wordWrap/>
              <w:overflowPunct/>
              <w:topLinePunct w:val="0"/>
              <w:bidi w:val="0"/>
              <w:adjustRightInd/>
              <w:snapToGrid/>
              <w:spacing w:line="360" w:lineRule="auto"/>
              <w:ind w:firstLine="480" w:firstLineChars="200"/>
              <w:jc w:val="both"/>
              <w:rPr>
                <w:rFonts w:hint="default" w:ascii="Times New Roman" w:hAnsi="Times New Roman" w:eastAsia="仿宋_GB2312" w:cs="Times New Roman"/>
                <w:b w:val="0"/>
                <w:bCs w:val="0"/>
                <w:color w:val="auto"/>
                <w:sz w:val="24"/>
                <w:highlight w:val="none"/>
                <w:lang w:val="en-US" w:eastAsia="zh-CN"/>
              </w:rPr>
            </w:pPr>
            <w:r>
              <w:rPr>
                <w:rFonts w:hint="default" w:ascii="Times New Roman" w:hAnsi="Times New Roman" w:eastAsia="仿宋_GB2312" w:cs="Times New Roman"/>
                <w:b w:val="0"/>
                <w:bCs w:val="0"/>
                <w:color w:val="auto"/>
                <w:sz w:val="24"/>
                <w:highlight w:val="none"/>
                <w:lang w:val="en-US" w:eastAsia="zh-CN"/>
              </w:rPr>
              <w:t>本项目</w:t>
            </w:r>
            <w:r>
              <w:rPr>
                <w:rFonts w:hint="eastAsia" w:eastAsia="仿宋_GB2312" w:cs="Times New Roman"/>
                <w:b w:val="0"/>
                <w:bCs w:val="0"/>
                <w:color w:val="auto"/>
                <w:sz w:val="24"/>
                <w:highlight w:val="none"/>
                <w:lang w:val="en-US" w:eastAsia="zh-CN"/>
              </w:rPr>
              <w:t>涉及</w:t>
            </w:r>
            <w:r>
              <w:rPr>
                <w:rFonts w:hint="eastAsia" w:ascii="Times New Roman" w:hAnsi="Times New Roman" w:eastAsia="仿宋_GB2312" w:cs="Times New Roman"/>
                <w:b w:val="0"/>
                <w:bCs w:val="0"/>
                <w:color w:val="auto"/>
                <w:spacing w:val="-6"/>
                <w:kern w:val="16"/>
                <w:sz w:val="24"/>
                <w:highlight w:val="none"/>
                <w:lang w:val="en-US" w:eastAsia="zh-CN"/>
              </w:rPr>
              <w:t>水土流失重点预防区</w:t>
            </w:r>
            <w:r>
              <w:rPr>
                <w:rFonts w:hint="eastAsia" w:ascii="Times New Roman" w:hAnsi="Times New Roman" w:eastAsia="仿宋_GB2312" w:cs="Times New Roman"/>
                <w:b w:val="0"/>
                <w:bCs w:val="0"/>
                <w:color w:val="auto"/>
                <w:sz w:val="24"/>
                <w:highlight w:val="none"/>
                <w:lang w:val="en-US" w:eastAsia="zh-CN"/>
              </w:rPr>
              <w:t>。是指水土流失潜在危险较大的区域。其特征是，人为生产活动较少，现状水土流失较轻，但潜在水土流失危险程度较高，对国家或区域防洪安全、水资源安全和生态安全有重大影响，是今后预防保护的重点。</w:t>
            </w:r>
            <w:r>
              <w:rPr>
                <w:rFonts w:hint="eastAsia" w:eastAsia="仿宋_GB2312" w:cs="Times New Roman"/>
                <w:b w:val="0"/>
                <w:bCs w:val="0"/>
                <w:color w:val="auto"/>
                <w:sz w:val="24"/>
                <w:highlight w:val="none"/>
                <w:lang w:val="en-US" w:eastAsia="zh-CN"/>
              </w:rPr>
              <w:t>本项目所在区域为</w:t>
            </w:r>
            <w:r>
              <w:rPr>
                <w:rFonts w:hint="default" w:ascii="Times New Roman" w:hAnsi="Times New Roman" w:eastAsia="仿宋_GB2312" w:cs="Times New Roman"/>
                <w:b w:val="0"/>
                <w:bCs w:val="0"/>
                <w:color w:val="auto"/>
                <w:sz w:val="24"/>
                <w:highlight w:val="none"/>
                <w:lang w:val="en-US" w:eastAsia="zh-CN"/>
              </w:rPr>
              <w:t>“子午岭-六盘山国家级水土流失重点预防区”</w:t>
            </w:r>
            <w:r>
              <w:rPr>
                <w:rFonts w:hint="eastAsia" w:eastAsia="仿宋_GB2312" w:cs="Times New Roman"/>
                <w:b w:val="0"/>
                <w:bCs w:val="0"/>
                <w:color w:val="auto"/>
                <w:sz w:val="24"/>
                <w:highlight w:val="none"/>
                <w:lang w:val="en-US" w:eastAsia="zh-CN"/>
              </w:rPr>
              <w:t>。</w:t>
            </w:r>
          </w:p>
          <w:p>
            <w:pPr>
              <w:keepNext w:val="0"/>
              <w:keepLines w:val="0"/>
              <w:pageBreakBefore w:val="0"/>
              <w:kinsoku/>
              <w:wordWrap/>
              <w:overflowPunct/>
              <w:topLinePunct w:val="0"/>
              <w:bidi w:val="0"/>
              <w:adjustRightInd/>
              <w:snapToGrid/>
              <w:spacing w:line="360" w:lineRule="auto"/>
              <w:ind w:firstLine="480" w:firstLineChars="200"/>
              <w:jc w:val="both"/>
              <w:rPr>
                <w:rFonts w:hint="default" w:ascii="Times New Roman" w:hAnsi="Times New Roman" w:eastAsia="仿宋_GB2312" w:cs="Times New Roman"/>
                <w:b w:val="0"/>
                <w:bCs w:val="0"/>
                <w:color w:val="auto"/>
                <w:sz w:val="24"/>
                <w:highlight w:val="none"/>
                <w:lang w:val="en-US" w:eastAsia="zh-CN"/>
              </w:rPr>
            </w:pPr>
            <w:r>
              <w:rPr>
                <w:rFonts w:hint="eastAsia" w:ascii="Times New Roman" w:hAnsi="Times New Roman" w:eastAsia="仿宋_GB2312" w:cs="Times New Roman"/>
                <w:color w:val="auto"/>
                <w:sz w:val="24"/>
                <w:szCs w:val="24"/>
                <w:lang w:val="en-US" w:eastAsia="zh-CN"/>
              </w:rPr>
              <w:t>子午岭-六盘山国家级水土流失重点预防区</w:t>
            </w:r>
            <w:r>
              <w:rPr>
                <w:rFonts w:hint="default" w:ascii="Times New Roman" w:hAnsi="Times New Roman" w:eastAsia="仿宋_GB2312" w:cs="Times New Roman"/>
                <w:b w:val="0"/>
                <w:bCs w:val="0"/>
                <w:color w:val="auto"/>
                <w:sz w:val="24"/>
                <w:highlight w:val="none"/>
                <w:lang w:val="en-US" w:eastAsia="zh-CN"/>
              </w:rPr>
              <w:t>以“预防水土流失、保护现有植被、维持水源涵养功能” 为核心，属于生态敏感的水源涵养区，林草覆盖度较高但土壤抗侵蚀能力弱（土层薄、坡度大）。</w:t>
            </w:r>
          </w:p>
          <w:p>
            <w:pPr>
              <w:keepNext w:val="0"/>
              <w:keepLines w:val="0"/>
              <w:pageBreakBefore w:val="0"/>
              <w:kinsoku/>
              <w:wordWrap/>
              <w:overflowPunct/>
              <w:topLinePunct w:val="0"/>
              <w:bidi w:val="0"/>
              <w:adjustRightInd/>
              <w:snapToGrid/>
              <w:spacing w:line="360" w:lineRule="auto"/>
              <w:ind w:firstLine="480" w:firstLineChars="200"/>
              <w:jc w:val="both"/>
              <w:rPr>
                <w:rFonts w:hint="default" w:ascii="Times New Roman" w:hAnsi="Times New Roman" w:eastAsia="仿宋_GB2312" w:cs="Times New Roman"/>
                <w:b w:val="0"/>
                <w:bCs w:val="0"/>
                <w:color w:val="auto"/>
                <w:sz w:val="24"/>
                <w:highlight w:val="none"/>
                <w:lang w:val="en-US" w:eastAsia="zh-CN"/>
              </w:rPr>
            </w:pPr>
            <w:r>
              <w:rPr>
                <w:rFonts w:hint="default" w:ascii="Times New Roman" w:hAnsi="Times New Roman" w:eastAsia="仿宋_GB2312" w:cs="Times New Roman"/>
                <w:b w:val="0"/>
                <w:bCs w:val="0"/>
                <w:color w:val="auto"/>
                <w:sz w:val="24"/>
                <w:highlight w:val="none"/>
                <w:lang w:val="en-US" w:eastAsia="zh-CN"/>
              </w:rPr>
              <w:t>以山地、丘陵为主，坡度多在 15°-35°，土层厚度 30-60cm，水土流失类型以夏季暴雨引发的水力侵蚀为主，潜在侵蚀风险高。以次生落叶阔叶林、灌丛、山地草甸为主（如六盘山的辽东栎、山杨，子午岭的油松、沙棘），是泾河、渭河的源头区，水源涵养、水土保持功能突出，被称为黄土高原的 “绿岛”“湿岛”。</w:t>
            </w:r>
          </w:p>
          <w:p>
            <w:pPr>
              <w:adjustRightInd w:val="0"/>
              <w:snapToGrid w:val="0"/>
              <w:spacing w:line="360" w:lineRule="auto"/>
              <w:jc w:val="both"/>
              <w:rPr>
                <w:rFonts w:hint="default" w:ascii="Times New Roman" w:hAnsi="Times New Roman" w:eastAsia="仿宋_GB2312" w:cs="Times New Roman"/>
                <w:b/>
                <w:bCs/>
                <w:color w:val="auto"/>
                <w:sz w:val="24"/>
                <w:szCs w:val="24"/>
                <w:highlight w:val="none"/>
              </w:rPr>
            </w:pPr>
            <w:r>
              <w:rPr>
                <w:rFonts w:hint="default" w:ascii="Times New Roman" w:hAnsi="Times New Roman" w:eastAsia="仿宋_GB2312" w:cs="Times New Roman"/>
                <w:b/>
                <w:bCs/>
                <w:color w:val="auto"/>
                <w:sz w:val="24"/>
                <w:szCs w:val="24"/>
                <w:highlight w:val="none"/>
              </w:rPr>
              <w:t>1.</w:t>
            </w:r>
            <w:r>
              <w:rPr>
                <w:rFonts w:hint="eastAsia" w:eastAsia="仿宋_GB2312" w:cs="Times New Roman"/>
                <w:b/>
                <w:bCs/>
                <w:color w:val="auto"/>
                <w:sz w:val="24"/>
                <w:szCs w:val="24"/>
                <w:highlight w:val="none"/>
                <w:lang w:val="en-US" w:eastAsia="zh-CN"/>
              </w:rPr>
              <w:t>4</w:t>
            </w:r>
            <w:r>
              <w:rPr>
                <w:rFonts w:hint="default" w:ascii="Times New Roman" w:hAnsi="Times New Roman" w:eastAsia="仿宋_GB2312" w:cs="Times New Roman"/>
                <w:b/>
                <w:bCs/>
                <w:color w:val="auto"/>
                <w:sz w:val="24"/>
                <w:szCs w:val="24"/>
                <w:highlight w:val="none"/>
              </w:rPr>
              <w:t>生态环境现状</w:t>
            </w:r>
          </w:p>
          <w:p>
            <w:pPr>
              <w:adjustRightInd w:val="0"/>
              <w:snapToGrid w:val="0"/>
              <w:spacing w:line="360" w:lineRule="auto"/>
              <w:ind w:firstLine="480" w:firstLineChars="200"/>
              <w:jc w:val="both"/>
              <w:rPr>
                <w:rFonts w:hint="default" w:ascii="Times New Roman" w:hAnsi="Times New Roman" w:eastAsia="仿宋_GB2312" w:cs="Times New Roman"/>
                <w:color w:val="auto"/>
                <w:sz w:val="24"/>
                <w:szCs w:val="24"/>
                <w:highlight w:val="none"/>
                <w:lang w:eastAsia="zh-CN"/>
              </w:rPr>
            </w:pP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1</w:t>
            </w:r>
            <w:r>
              <w:rPr>
                <w:rFonts w:hint="default" w:ascii="Times New Roman" w:hAnsi="Times New Roman" w:eastAsia="仿宋_GB2312" w:cs="Times New Roman"/>
                <w:color w:val="auto"/>
                <w:sz w:val="24"/>
                <w:szCs w:val="24"/>
                <w:highlight w:val="none"/>
                <w:lang w:val="en-US" w:eastAsia="zh-CN"/>
              </w:rPr>
              <w:t>）</w:t>
            </w:r>
            <w:r>
              <w:rPr>
                <w:rFonts w:hint="default" w:ascii="Times New Roman" w:hAnsi="Times New Roman" w:eastAsia="仿宋_GB2312" w:cs="Times New Roman"/>
                <w:color w:val="auto"/>
                <w:sz w:val="24"/>
                <w:szCs w:val="24"/>
                <w:highlight w:val="none"/>
                <w:lang w:eastAsia="zh-CN"/>
              </w:rPr>
              <w:t>土地利用现状</w:t>
            </w:r>
          </w:p>
          <w:p>
            <w:pPr>
              <w:tabs>
                <w:tab w:val="left" w:pos="6510"/>
              </w:tabs>
              <w:adjustRightInd w:val="0"/>
              <w:snapToGrid w:val="0"/>
              <w:spacing w:line="360" w:lineRule="auto"/>
              <w:ind w:firstLine="480" w:firstLineChars="200"/>
              <w:jc w:val="both"/>
              <w:rPr>
                <w:rFonts w:hint="default" w:ascii="Times New Roman" w:hAnsi="Times New Roman" w:eastAsia="仿宋_GB2312" w:cs="Times New Roman"/>
                <w:color w:val="auto"/>
                <w:sz w:val="24"/>
                <w:szCs w:val="24"/>
                <w:highlight w:val="none"/>
              </w:rPr>
            </w:pPr>
            <w:r>
              <w:rPr>
                <w:rFonts w:hint="eastAsia" w:eastAsia="仿宋_GB2312" w:cs="Times New Roman"/>
                <w:color w:val="auto"/>
                <w:sz w:val="24"/>
                <w:szCs w:val="24"/>
                <w:highlight w:val="none"/>
                <w:lang w:val="en-US" w:eastAsia="zh-CN"/>
              </w:rPr>
              <w:t>项目用地</w:t>
            </w:r>
            <w:r>
              <w:rPr>
                <w:rFonts w:hint="default" w:ascii="Times New Roman" w:hAnsi="Times New Roman" w:eastAsia="仿宋_GB2312" w:cs="Times New Roman"/>
                <w:color w:val="auto"/>
                <w:sz w:val="24"/>
                <w:szCs w:val="24"/>
                <w:highlight w:val="none"/>
                <w:lang w:val="en-US" w:eastAsia="zh-CN"/>
              </w:rPr>
              <w:t>于农业设施（非建设用地），仅在养殖区域内布设智能设备，不改变土地农业用途，不占用永久基本农田。</w:t>
            </w:r>
          </w:p>
          <w:p>
            <w:pPr>
              <w:keepNext w:val="0"/>
              <w:keepLines w:val="0"/>
              <w:pageBreakBefore w:val="0"/>
              <w:tabs>
                <w:tab w:val="left" w:pos="6510"/>
              </w:tabs>
              <w:kinsoku/>
              <w:wordWrap/>
              <w:overflowPunct/>
              <w:topLinePunct w:val="0"/>
              <w:bidi w:val="0"/>
              <w:adjustRightInd/>
              <w:snapToGrid/>
              <w:spacing w:line="360" w:lineRule="auto"/>
              <w:ind w:firstLine="480" w:firstLineChars="200"/>
              <w:jc w:val="both"/>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（2）土壤类型</w:t>
            </w:r>
          </w:p>
          <w:p>
            <w:pPr>
              <w:keepNext w:val="0"/>
              <w:keepLines w:val="0"/>
              <w:pageBreakBefore w:val="0"/>
              <w:kinsoku/>
              <w:wordWrap/>
              <w:overflowPunct/>
              <w:topLinePunct w:val="0"/>
              <w:bidi w:val="0"/>
              <w:adjustRightInd/>
              <w:snapToGrid/>
              <w:spacing w:line="360" w:lineRule="auto"/>
              <w:ind w:firstLine="480" w:firstLineChars="200"/>
              <w:jc w:val="both"/>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根据现场调查，项目所在区域评价区呈现典型的黄土丘陵地貌特征，土壤受地貌、生物、气候及人类活动的影响，类型复杂，有山地土、灰钙土、草甸土、盐土等类型，以山地土和草甸土为主。地表土质为沙壤土和黄绵土。评价区内植被较好，土壤受到保护，是南部山区侵蚀最小的地区之一。</w:t>
            </w:r>
          </w:p>
          <w:p>
            <w:pPr>
              <w:keepNext w:val="0"/>
              <w:keepLines w:val="0"/>
              <w:pageBreakBefore w:val="0"/>
              <w:kinsoku/>
              <w:wordWrap/>
              <w:overflowPunct/>
              <w:topLinePunct w:val="0"/>
              <w:bidi w:val="0"/>
              <w:adjustRightInd/>
              <w:snapToGrid/>
              <w:spacing w:line="352" w:lineRule="auto"/>
              <w:ind w:firstLine="480" w:firstLineChars="200"/>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eastAsia="zh-CN"/>
              </w:rPr>
              <w:t>（</w:t>
            </w:r>
            <w:r>
              <w:rPr>
                <w:rFonts w:hint="default" w:ascii="Times New Roman" w:hAnsi="Times New Roman" w:eastAsia="仿宋_GB2312" w:cs="Times New Roman"/>
                <w:color w:val="auto"/>
                <w:sz w:val="24"/>
                <w:szCs w:val="24"/>
                <w:highlight w:val="none"/>
                <w:lang w:val="en-US" w:eastAsia="zh-CN"/>
              </w:rPr>
              <w:t>3</w:t>
            </w:r>
            <w:r>
              <w:rPr>
                <w:rFonts w:hint="default" w:ascii="Times New Roman" w:hAnsi="Times New Roman" w:eastAsia="仿宋_GB2312" w:cs="Times New Roman"/>
                <w:color w:val="auto"/>
                <w:sz w:val="24"/>
                <w:szCs w:val="24"/>
                <w:highlight w:val="none"/>
                <w:lang w:eastAsia="zh-CN"/>
              </w:rPr>
              <w:t>）</w:t>
            </w:r>
            <w:r>
              <w:rPr>
                <w:rFonts w:hint="default" w:ascii="Times New Roman" w:hAnsi="Times New Roman" w:eastAsia="仿宋_GB2312" w:cs="Times New Roman"/>
                <w:color w:val="auto"/>
                <w:sz w:val="24"/>
                <w:szCs w:val="24"/>
                <w:highlight w:val="none"/>
              </w:rPr>
              <w:t>植被分布</w:t>
            </w:r>
          </w:p>
          <w:p>
            <w:pPr>
              <w:keepNext w:val="0"/>
              <w:keepLines w:val="0"/>
              <w:pageBreakBefore w:val="0"/>
              <w:kinsoku/>
              <w:wordWrap/>
              <w:overflowPunct/>
              <w:topLinePunct w:val="0"/>
              <w:bidi w:val="0"/>
              <w:adjustRightInd/>
              <w:snapToGrid/>
              <w:spacing w:line="352"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kern w:val="24"/>
                <w:sz w:val="24"/>
                <w:szCs w:val="24"/>
                <w:lang w:val="en-US" w:eastAsia="zh-CN" w:bidi="ar-SA"/>
              </w:rPr>
              <w:t>项目所在区域位于《宁夏植被图》</w:t>
            </w:r>
            <w:r>
              <w:rPr>
                <w:rFonts w:hint="eastAsia" w:ascii="Times New Roman" w:hAnsi="Times New Roman" w:eastAsia="仿宋_GB2312" w:cs="Times New Roman"/>
                <w:color w:val="auto"/>
                <w:kern w:val="24"/>
                <w:sz w:val="24"/>
                <w:szCs w:val="24"/>
                <w:lang w:val="en-US" w:eastAsia="zh-CN" w:bidi="ar-SA"/>
              </w:rPr>
              <w:t>（见图3-6）</w:t>
            </w:r>
            <w:r>
              <w:rPr>
                <w:rFonts w:hint="default" w:ascii="Times New Roman" w:hAnsi="Times New Roman" w:eastAsia="仿宋_GB2312" w:cs="Times New Roman"/>
                <w:color w:val="auto"/>
                <w:kern w:val="24"/>
                <w:sz w:val="24"/>
                <w:szCs w:val="24"/>
                <w:lang w:val="en-US" w:eastAsia="zh-CN" w:bidi="ar-SA"/>
              </w:rPr>
              <w:t>中的“宁中、宁北洪积和间山平原缓坡丘陵荒漠草原及灌溉栽培植被区——ⅠAL</w:t>
            </w:r>
            <w:r>
              <w:rPr>
                <w:rFonts w:hint="eastAsia" w:ascii="Times New Roman" w:hAnsi="Times New Roman" w:eastAsia="仿宋_GB2312" w:cs="Times New Roman"/>
                <w:color w:val="auto"/>
                <w:kern w:val="24"/>
                <w:sz w:val="24"/>
                <w:szCs w:val="24"/>
                <w:lang w:val="en-US" w:eastAsia="zh-CN" w:bidi="ar-SA"/>
              </w:rPr>
              <w:t>1c固原中部灌丛</w:t>
            </w:r>
            <w:r>
              <w:rPr>
                <w:rFonts w:hint="default" w:ascii="Times New Roman" w:hAnsi="Times New Roman" w:eastAsia="仿宋_GB2312" w:cs="Times New Roman"/>
                <w:color w:val="auto"/>
                <w:kern w:val="24"/>
                <w:sz w:val="24"/>
                <w:szCs w:val="24"/>
                <w:lang w:val="en-US" w:eastAsia="zh-CN" w:bidi="ar-SA"/>
              </w:rPr>
              <w:t>草原小区中</w:t>
            </w:r>
            <w:r>
              <w:rPr>
                <w:rFonts w:hint="eastAsia" w:ascii="Times New Roman" w:hAnsi="Times New Roman" w:eastAsia="仿宋_GB2312" w:cs="Times New Roman"/>
                <w:color w:val="auto"/>
                <w:kern w:val="24"/>
                <w:sz w:val="24"/>
                <w:szCs w:val="24"/>
                <w:lang w:val="en-US" w:eastAsia="zh-CN" w:bidi="ar-SA"/>
              </w:rPr>
              <w:t>6</w:t>
            </w:r>
            <w:r>
              <w:rPr>
                <w:rFonts w:hint="default" w:ascii="Times New Roman" w:hAnsi="Times New Roman" w:eastAsia="仿宋_GB2312" w:cs="Times New Roman"/>
                <w:color w:val="auto"/>
                <w:kern w:val="24"/>
                <w:sz w:val="24"/>
                <w:szCs w:val="24"/>
                <w:lang w:val="en-US" w:eastAsia="zh-CN" w:bidi="ar-SA"/>
              </w:rPr>
              <w:t>4.</w:t>
            </w:r>
            <w:r>
              <w:rPr>
                <w:rFonts w:hint="eastAsia" w:ascii="Times New Roman" w:hAnsi="Times New Roman" w:eastAsia="仿宋_GB2312" w:cs="Times New Roman"/>
                <w:color w:val="auto"/>
                <w:kern w:val="24"/>
                <w:sz w:val="24"/>
                <w:szCs w:val="24"/>
                <w:lang w:val="en-US" w:eastAsia="zh-CN" w:bidi="ar-SA"/>
              </w:rPr>
              <w:t>以春小麦为主，含玉米、洋芋、糜子、豆类、油料一年一熟作物</w:t>
            </w:r>
            <w:r>
              <w:rPr>
                <w:rFonts w:hint="default" w:ascii="Times New Roman" w:hAnsi="Times New Roman" w:eastAsia="仿宋_GB2312" w:cs="Times New Roman"/>
                <w:color w:val="auto"/>
                <w:kern w:val="24"/>
                <w:sz w:val="24"/>
                <w:szCs w:val="24"/>
                <w:lang w:val="en-US" w:eastAsia="zh-CN" w:bidi="ar-SA"/>
              </w:rPr>
              <w:t>，自然植被主要为</w:t>
            </w:r>
            <w:r>
              <w:rPr>
                <w:rFonts w:hint="eastAsia" w:ascii="Times New Roman" w:hAnsi="Times New Roman" w:eastAsia="仿宋_GB2312" w:cs="Times New Roman"/>
                <w:color w:val="auto"/>
                <w:kern w:val="24"/>
                <w:sz w:val="24"/>
                <w:szCs w:val="24"/>
                <w:lang w:val="en-US" w:eastAsia="zh-CN" w:bidi="ar-SA"/>
              </w:rPr>
              <w:t>雾冰藜</w:t>
            </w:r>
            <w:r>
              <w:rPr>
                <w:rFonts w:hint="default" w:ascii="Times New Roman" w:hAnsi="Times New Roman" w:eastAsia="仿宋_GB2312" w:cs="Times New Roman"/>
                <w:color w:val="auto"/>
                <w:kern w:val="24"/>
                <w:sz w:val="24"/>
                <w:szCs w:val="24"/>
                <w:lang w:val="en-US" w:eastAsia="zh-CN" w:bidi="ar-SA"/>
              </w:rPr>
              <w:t>、</w:t>
            </w:r>
            <w:r>
              <w:rPr>
                <w:rFonts w:hint="eastAsia" w:ascii="Times New Roman" w:hAnsi="Times New Roman" w:eastAsia="仿宋_GB2312" w:cs="Times New Roman"/>
                <w:color w:val="auto"/>
                <w:kern w:val="24"/>
                <w:sz w:val="24"/>
                <w:szCs w:val="24"/>
                <w:lang w:val="en-US" w:eastAsia="zh-CN" w:bidi="ar-SA"/>
              </w:rPr>
              <w:t>飞廉、猪毛菜、芨芨草等</w:t>
            </w:r>
            <w:r>
              <w:rPr>
                <w:rFonts w:hint="default" w:ascii="Times New Roman" w:hAnsi="Times New Roman" w:eastAsia="仿宋_GB2312" w:cs="Times New Roman"/>
                <w:color w:val="auto"/>
                <w:kern w:val="24"/>
                <w:sz w:val="24"/>
                <w:szCs w:val="24"/>
                <w:lang w:val="en-US" w:eastAsia="zh-CN" w:bidi="ar-SA"/>
              </w:rPr>
              <w:t>植被</w:t>
            </w:r>
            <w:r>
              <w:rPr>
                <w:rFonts w:hint="eastAsia" w:ascii="Times New Roman" w:hAnsi="Times New Roman" w:eastAsia="仿宋_GB2312" w:cs="Times New Roman"/>
                <w:color w:val="auto"/>
                <w:kern w:val="24"/>
                <w:sz w:val="24"/>
                <w:szCs w:val="24"/>
                <w:lang w:val="en-US" w:eastAsia="zh-CN" w:bidi="ar-SA"/>
              </w:rPr>
              <w:t>，农田主要种植玉米，周边行道树主要为松树、槐树，无国家和地方明令保护的珍稀植物物种</w:t>
            </w:r>
            <w:r>
              <w:rPr>
                <w:rFonts w:hint="default" w:ascii="Times New Roman" w:hAnsi="Times New Roman" w:eastAsia="仿宋_GB2312" w:cs="Times New Roman"/>
                <w:color w:val="auto"/>
                <w:kern w:val="24"/>
                <w:sz w:val="24"/>
                <w:szCs w:val="24"/>
                <w:lang w:val="en-US" w:eastAsia="zh-CN" w:bidi="ar-SA"/>
              </w:rPr>
              <w:t>。</w:t>
            </w:r>
          </w:p>
          <w:p>
            <w:pPr>
              <w:keepNext w:val="0"/>
              <w:keepLines w:val="0"/>
              <w:pageBreakBefore w:val="0"/>
              <w:kinsoku/>
              <w:wordWrap/>
              <w:overflowPunct/>
              <w:topLinePunct w:val="0"/>
              <w:bidi w:val="0"/>
              <w:adjustRightInd/>
              <w:snapToGrid/>
              <w:spacing w:line="352" w:lineRule="auto"/>
              <w:ind w:firstLine="480" w:firstLineChars="200"/>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eastAsia="zh-CN"/>
              </w:rPr>
              <w:t>（</w:t>
            </w:r>
            <w:r>
              <w:rPr>
                <w:rFonts w:hint="default" w:ascii="Times New Roman" w:hAnsi="Times New Roman" w:eastAsia="仿宋_GB2312" w:cs="Times New Roman"/>
                <w:color w:val="auto"/>
                <w:sz w:val="24"/>
                <w:szCs w:val="24"/>
                <w:highlight w:val="none"/>
                <w:lang w:val="en-US" w:eastAsia="zh-CN"/>
              </w:rPr>
              <w:t>4</w:t>
            </w:r>
            <w:r>
              <w:rPr>
                <w:rFonts w:hint="default" w:ascii="Times New Roman" w:hAnsi="Times New Roman" w:eastAsia="仿宋_GB2312" w:cs="Times New Roman"/>
                <w:color w:val="auto"/>
                <w:sz w:val="24"/>
                <w:szCs w:val="24"/>
                <w:highlight w:val="none"/>
                <w:lang w:eastAsia="zh-CN"/>
              </w:rPr>
              <w:t>）</w:t>
            </w:r>
            <w:r>
              <w:rPr>
                <w:rFonts w:hint="default" w:ascii="Times New Roman" w:hAnsi="Times New Roman" w:eastAsia="仿宋_GB2312" w:cs="Times New Roman"/>
                <w:color w:val="auto"/>
                <w:sz w:val="24"/>
                <w:szCs w:val="24"/>
                <w:highlight w:val="none"/>
              </w:rPr>
              <w:t>动物</w:t>
            </w:r>
          </w:p>
          <w:p>
            <w:pPr>
              <w:pStyle w:val="15"/>
              <w:keepNext w:val="0"/>
              <w:keepLines w:val="0"/>
              <w:pageBreakBefore w:val="0"/>
              <w:widowControl/>
              <w:kinsoku/>
              <w:wordWrap/>
              <w:overflowPunct/>
              <w:topLinePunct w:val="0"/>
              <w:autoSpaceDE/>
              <w:autoSpaceDN/>
              <w:bidi w:val="0"/>
              <w:adjustRightInd w:val="0"/>
              <w:snapToGrid w:val="0"/>
              <w:spacing w:before="0" w:after="0" w:line="348" w:lineRule="auto"/>
              <w:ind w:left="0" w:right="0" w:firstLine="480" w:firstLineChars="200"/>
              <w:textAlignment w:val="auto"/>
              <w:rPr>
                <w:rFonts w:hint="default" w:ascii="Times New Roman" w:hAnsi="Times New Roman" w:eastAsia="仿宋_GB2312" w:cs="Times New Roman"/>
                <w:color w:val="auto"/>
                <w:kern w:val="24"/>
                <w:sz w:val="24"/>
                <w:szCs w:val="24"/>
                <w:lang w:val="en-US" w:eastAsia="zh-CN" w:bidi="ar-SA"/>
              </w:rPr>
            </w:pPr>
            <w:r>
              <w:rPr>
                <w:rFonts w:hint="default" w:ascii="Times New Roman" w:hAnsi="Times New Roman" w:eastAsia="仿宋_GB2312" w:cs="Times New Roman"/>
                <w:color w:val="auto"/>
                <w:kern w:val="24"/>
                <w:sz w:val="24"/>
                <w:szCs w:val="24"/>
                <w:lang w:val="en-US" w:eastAsia="zh-CN" w:bidi="ar-SA"/>
              </w:rPr>
              <w:t>项目</w:t>
            </w:r>
            <w:r>
              <w:rPr>
                <w:rFonts w:hint="eastAsia" w:ascii="Times New Roman" w:hAnsi="Times New Roman" w:eastAsia="仿宋_GB2312" w:cs="Times New Roman"/>
                <w:color w:val="auto"/>
                <w:kern w:val="24"/>
                <w:sz w:val="24"/>
                <w:szCs w:val="24"/>
                <w:lang w:val="en-US" w:eastAsia="zh-CN" w:bidi="ar-SA"/>
              </w:rPr>
              <w:t>所在区受人群耕种、活动影响，周边</w:t>
            </w:r>
            <w:r>
              <w:rPr>
                <w:rFonts w:hint="default" w:ascii="Times New Roman" w:hAnsi="Times New Roman" w:eastAsia="仿宋_GB2312" w:cs="Times New Roman"/>
                <w:color w:val="auto"/>
                <w:kern w:val="24"/>
                <w:sz w:val="24"/>
                <w:szCs w:val="24"/>
                <w:lang w:val="en-US" w:eastAsia="zh-CN" w:bidi="ar-SA"/>
              </w:rPr>
              <w:t>野生动物品种、数量均很少，主要是一些常见种类，兽类有野兔和鼠类，爬行类主要有蜥蜴、蛇；鸟类主要有麻雀、喜鹊等常见种。根据现场调查和访问，评价区域范围内无国家及自治区级珍稀野生保护动物及栖息地。</w:t>
            </w:r>
          </w:p>
          <w:p>
            <w:pPr>
              <w:pStyle w:val="17"/>
              <w:keepNext w:val="0"/>
              <w:keepLines w:val="0"/>
              <w:pageBreakBefore w:val="0"/>
              <w:kinsoku/>
              <w:wordWrap/>
              <w:overflowPunct/>
              <w:topLinePunct w:val="0"/>
              <w:bidi w:val="0"/>
              <w:adjustRightInd/>
              <w:snapToGrid/>
              <w:spacing w:line="360" w:lineRule="auto"/>
              <w:rPr>
                <w:rFonts w:hint="default" w:ascii="Times New Roman" w:hAnsi="Times New Roman" w:eastAsia="仿宋_GB2312" w:cs="Times New Roman"/>
                <w:b/>
                <w:bCs/>
                <w:color w:val="auto"/>
                <w:sz w:val="24"/>
                <w:highlight w:val="none"/>
                <w:lang w:eastAsia="zh-CN"/>
              </w:rPr>
            </w:pPr>
            <w:r>
              <w:rPr>
                <w:rFonts w:hint="default" w:ascii="Times New Roman" w:hAnsi="Times New Roman" w:eastAsia="仿宋_GB2312" w:cs="Times New Roman"/>
                <w:b/>
                <w:bCs/>
                <w:color w:val="auto"/>
                <w:sz w:val="24"/>
                <w:highlight w:val="none"/>
                <w:lang w:val="en-US" w:eastAsia="zh-CN"/>
              </w:rPr>
              <w:t>2</w:t>
            </w:r>
            <w:r>
              <w:rPr>
                <w:rFonts w:hint="default" w:ascii="Times New Roman" w:hAnsi="Times New Roman" w:eastAsia="仿宋_GB2312" w:cs="Times New Roman"/>
                <w:b/>
                <w:bCs/>
                <w:color w:val="auto"/>
                <w:sz w:val="24"/>
                <w:highlight w:val="none"/>
              </w:rPr>
              <w:t>、</w:t>
            </w:r>
            <w:r>
              <w:rPr>
                <w:rFonts w:hint="default" w:ascii="Times New Roman" w:hAnsi="Times New Roman" w:eastAsia="仿宋_GB2312" w:cs="Times New Roman"/>
                <w:b/>
                <w:bCs/>
                <w:color w:val="auto"/>
                <w:sz w:val="24"/>
                <w:highlight w:val="none"/>
                <w:lang w:eastAsia="zh-CN"/>
              </w:rPr>
              <w:t>大气环境</w:t>
            </w:r>
            <w:r>
              <w:rPr>
                <w:rFonts w:hint="default" w:ascii="Times New Roman" w:hAnsi="Times New Roman" w:eastAsia="仿宋_GB2312" w:cs="Times New Roman"/>
                <w:b/>
                <w:bCs/>
                <w:color w:val="auto"/>
                <w:sz w:val="24"/>
                <w:highlight w:val="none"/>
                <w:lang w:val="en-US" w:eastAsia="zh-CN"/>
              </w:rPr>
              <w:t>质量</w:t>
            </w:r>
            <w:r>
              <w:rPr>
                <w:rFonts w:hint="default" w:ascii="Times New Roman" w:hAnsi="Times New Roman" w:eastAsia="仿宋_GB2312" w:cs="Times New Roman"/>
                <w:b/>
                <w:bCs/>
                <w:color w:val="auto"/>
                <w:sz w:val="24"/>
                <w:highlight w:val="none"/>
                <w:lang w:eastAsia="zh-CN"/>
              </w:rPr>
              <w:t>现状</w:t>
            </w:r>
          </w:p>
          <w:p>
            <w:pPr>
              <w:pStyle w:val="17"/>
              <w:keepNext w:val="0"/>
              <w:keepLines w:val="0"/>
              <w:pageBreakBefore w:val="0"/>
              <w:kinsoku/>
              <w:wordWrap/>
              <w:overflowPunct/>
              <w:topLinePunct w:val="0"/>
              <w:bidi w:val="0"/>
              <w:adjustRightInd/>
              <w:snapToGrid/>
              <w:spacing w:line="360" w:lineRule="auto"/>
              <w:ind w:firstLine="480" w:firstLineChars="200"/>
              <w:rPr>
                <w:rFonts w:hint="default" w:ascii="Times New Roman" w:hAnsi="Times New Roman" w:eastAsia="仿宋_GB2312" w:cs="Times New Roman"/>
                <w:color w:val="auto"/>
                <w:sz w:val="24"/>
                <w:highlight w:val="yellow"/>
              </w:rPr>
            </w:pPr>
            <w:r>
              <w:rPr>
                <w:rFonts w:hint="default" w:ascii="Times New Roman" w:hAnsi="Times New Roman" w:eastAsia="仿宋_GB2312" w:cs="Times New Roman"/>
                <w:b w:val="0"/>
                <w:bCs/>
                <w:color w:val="auto"/>
                <w:sz w:val="24"/>
                <w:szCs w:val="24"/>
                <w:highlight w:val="none"/>
                <w:lang w:val="en-US" w:eastAsia="zh-CN"/>
              </w:rPr>
              <w:t>本项目位于固原市</w:t>
            </w:r>
            <w:r>
              <w:rPr>
                <w:rFonts w:hint="eastAsia" w:eastAsia="仿宋_GB2312" w:cs="Times New Roman"/>
                <w:color w:val="auto"/>
                <w:sz w:val="24"/>
                <w:highlight w:val="none"/>
                <w:lang w:val="en-US" w:eastAsia="zh-CN"/>
              </w:rPr>
              <w:t>泾源县黄花乡沙塘村和羊槽村、新民乡马河滩村、大湾乡牛营村、香水镇卡子村米岗村、兴盛乡兴盛村、泾河源镇白面村</w:t>
            </w:r>
            <w:r>
              <w:rPr>
                <w:rFonts w:hint="default" w:ascii="Times New Roman" w:hAnsi="Times New Roman" w:eastAsia="仿宋_GB2312" w:cs="Times New Roman"/>
                <w:b w:val="0"/>
                <w:bCs/>
                <w:color w:val="auto"/>
                <w:sz w:val="24"/>
                <w:szCs w:val="24"/>
                <w:highlight w:val="none"/>
                <w:lang w:val="en-US" w:eastAsia="zh-CN"/>
              </w:rPr>
              <w:t>，隶属于泾源县行政区划范围内，故本次评价采用</w:t>
            </w:r>
            <w:r>
              <w:rPr>
                <w:rFonts w:hint="eastAsia" w:ascii="Times New Roman" w:hAnsi="Times New Roman" w:eastAsia="仿宋_GB2312" w:cs="Times New Roman"/>
                <w:b w:val="0"/>
                <w:bCs/>
                <w:color w:val="auto"/>
                <w:sz w:val="24"/>
                <w:szCs w:val="24"/>
                <w:highlight w:val="none"/>
                <w:lang w:val="en-US" w:eastAsia="zh-CN"/>
              </w:rPr>
              <w:t>固原市</w:t>
            </w:r>
            <w:r>
              <w:rPr>
                <w:rFonts w:hint="default" w:ascii="Times New Roman" w:hAnsi="Times New Roman" w:eastAsia="仿宋_GB2312" w:cs="Times New Roman"/>
                <w:b w:val="0"/>
                <w:bCs/>
                <w:color w:val="auto"/>
                <w:sz w:val="24"/>
                <w:szCs w:val="24"/>
                <w:highlight w:val="none"/>
                <w:lang w:val="en-US" w:eastAsia="zh-CN"/>
              </w:rPr>
              <w:t>环境空气质量数据进行分析。</w:t>
            </w:r>
            <w:r>
              <w:rPr>
                <w:rFonts w:hint="eastAsia" w:ascii="Times New Roman" w:hAnsi="Times New Roman" w:eastAsia="仿宋_GB2312" w:cs="Times New Roman"/>
                <w:color w:val="auto"/>
                <w:kern w:val="2"/>
                <w:sz w:val="24"/>
                <w:szCs w:val="24"/>
                <w:highlight w:val="none"/>
                <w:lang w:val="en-US" w:eastAsia="zh-CN" w:bidi="ar-SA"/>
              </w:rPr>
              <w:t>项目区域环境空气质量现状达标区判定采用宁夏回族自治区生态环境厅公布的《2024年宁夏回族自治区生态环境质量状况》统计的固原市环境空气质量现状数据。</w:t>
            </w:r>
            <w:r>
              <w:rPr>
                <w:rFonts w:hint="default" w:ascii="Times New Roman" w:hAnsi="Times New Roman" w:eastAsia="仿宋_GB2312" w:cs="Times New Roman"/>
                <w:color w:val="auto"/>
                <w:sz w:val="24"/>
                <w:highlight w:val="none"/>
              </w:rPr>
              <w:t>具体监测结果统计见表</w:t>
            </w:r>
            <w:r>
              <w:rPr>
                <w:rFonts w:hint="eastAsia" w:ascii="Times New Roman" w:hAnsi="Times New Roman" w:eastAsia="仿宋_GB2312" w:cs="Times New Roman"/>
                <w:color w:val="auto"/>
                <w:sz w:val="24"/>
                <w:highlight w:val="none"/>
                <w:lang w:val="en-US" w:eastAsia="zh-CN"/>
              </w:rPr>
              <w:t>9</w:t>
            </w:r>
            <w:r>
              <w:rPr>
                <w:rFonts w:hint="default" w:ascii="Times New Roman" w:hAnsi="Times New Roman" w:eastAsia="仿宋_GB2312" w:cs="Times New Roman"/>
                <w:color w:val="auto"/>
                <w:sz w:val="24"/>
                <w:highlight w:val="none"/>
              </w:rPr>
              <w:t>。</w:t>
            </w:r>
          </w:p>
          <w:p>
            <w:pPr>
              <w:pStyle w:val="20"/>
              <w:keepNext w:val="0"/>
              <w:keepLines w:val="0"/>
              <w:pageBreakBefore w:val="0"/>
              <w:kinsoku/>
              <w:wordWrap/>
              <w:overflowPunct/>
              <w:topLinePunct w:val="0"/>
              <w:bidi w:val="0"/>
              <w:adjustRightInd/>
              <w:snapToGrid/>
              <w:spacing w:line="240" w:lineRule="auto"/>
              <w:ind w:left="0" w:leftChars="0" w:firstLine="420" w:firstLineChars="200"/>
              <w:jc w:val="both"/>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val="0"/>
                <w:bCs w:val="0"/>
                <w:color w:val="auto"/>
                <w:sz w:val="21"/>
                <w:szCs w:val="21"/>
                <w:highlight w:val="none"/>
              </w:rPr>
              <w:t>表</w:t>
            </w:r>
            <w:r>
              <w:rPr>
                <w:rFonts w:hint="eastAsia" w:cs="Times New Roman"/>
                <w:b w:val="0"/>
                <w:bCs w:val="0"/>
                <w:color w:val="auto"/>
                <w:sz w:val="21"/>
                <w:szCs w:val="21"/>
                <w:highlight w:val="none"/>
                <w:lang w:val="en-US" w:eastAsia="zh-CN"/>
              </w:rPr>
              <w:t>9</w:t>
            </w:r>
            <w:r>
              <w:rPr>
                <w:rFonts w:hint="default" w:ascii="Times New Roman" w:hAnsi="Times New Roman" w:eastAsia="宋体" w:cs="Times New Roman"/>
                <w:b/>
                <w:bCs/>
                <w:color w:val="auto"/>
                <w:sz w:val="24"/>
                <w:szCs w:val="24"/>
                <w:highlight w:val="none"/>
              </w:rPr>
              <w:t xml:space="preserve"> </w:t>
            </w:r>
            <w:r>
              <w:rPr>
                <w:rFonts w:hint="default"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rPr>
              <w:t xml:space="preserve"> 20</w:t>
            </w:r>
            <w:r>
              <w:rPr>
                <w:rFonts w:hint="default" w:ascii="Times New Roman" w:hAnsi="Times New Roman" w:eastAsia="宋体" w:cs="Times New Roman"/>
                <w:b/>
                <w:bCs/>
                <w:color w:val="auto"/>
                <w:sz w:val="24"/>
                <w:szCs w:val="24"/>
                <w:highlight w:val="none"/>
                <w:lang w:val="en-US" w:eastAsia="zh-CN"/>
              </w:rPr>
              <w:t>2</w:t>
            </w:r>
            <w:r>
              <w:rPr>
                <w:rFonts w:hint="eastAsia"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年</w:t>
            </w:r>
            <w:r>
              <w:rPr>
                <w:rFonts w:hint="eastAsia" w:cs="Times New Roman"/>
                <w:b/>
                <w:bCs/>
                <w:color w:val="auto"/>
                <w:sz w:val="24"/>
                <w:szCs w:val="24"/>
                <w:highlight w:val="none"/>
                <w:lang w:val="en-US" w:eastAsia="zh-CN"/>
              </w:rPr>
              <w:t>固原市</w:t>
            </w:r>
            <w:r>
              <w:rPr>
                <w:rFonts w:hint="default" w:ascii="Times New Roman" w:hAnsi="Times New Roman" w:eastAsia="宋体" w:cs="Times New Roman"/>
                <w:b/>
                <w:bCs/>
                <w:color w:val="auto"/>
                <w:sz w:val="24"/>
                <w:szCs w:val="24"/>
                <w:highlight w:val="none"/>
              </w:rPr>
              <w:t>环境空气质量现状</w:t>
            </w:r>
          </w:p>
          <w:tbl>
            <w:tblPr>
              <w:tblStyle w:val="35"/>
              <w:tblW w:w="843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96"/>
              <w:gridCol w:w="2462"/>
              <w:gridCol w:w="1355"/>
              <w:gridCol w:w="1417"/>
              <w:gridCol w:w="1173"/>
              <w:gridCol w:w="11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8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w:t>
                  </w:r>
                </w:p>
              </w:tc>
              <w:tc>
                <w:tcPr>
                  <w:tcW w:w="24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年评价指标</w:t>
                  </w:r>
                </w:p>
              </w:tc>
              <w:tc>
                <w:tcPr>
                  <w:tcW w:w="13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现状浓度（μg/m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rPr>
                    <w:t>）</w:t>
                  </w:r>
                </w:p>
              </w:tc>
              <w:tc>
                <w:tcPr>
                  <w:tcW w:w="14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标准值（μg/m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rPr>
                    <w:t>）</w:t>
                  </w:r>
                </w:p>
              </w:tc>
              <w:tc>
                <w:tcPr>
                  <w:tcW w:w="11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占标率/%</w:t>
                  </w:r>
                </w:p>
              </w:tc>
              <w:tc>
                <w:tcPr>
                  <w:tcW w:w="11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8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10</w:t>
                  </w:r>
                </w:p>
              </w:tc>
              <w:tc>
                <w:tcPr>
                  <w:tcW w:w="24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13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r>
                    <w:rPr>
                      <w:rFonts w:hint="eastAsia" w:cs="Times New Roman"/>
                      <w:color w:val="auto"/>
                      <w:sz w:val="21"/>
                      <w:szCs w:val="21"/>
                      <w:lang w:val="en-US" w:eastAsia="zh-CN"/>
                    </w:rPr>
                    <w:t>1</w:t>
                  </w:r>
                </w:p>
              </w:tc>
              <w:tc>
                <w:tcPr>
                  <w:tcW w:w="14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w:t>
                  </w:r>
                </w:p>
              </w:tc>
              <w:tc>
                <w:tcPr>
                  <w:tcW w:w="11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87.14</w:t>
                  </w:r>
                </w:p>
              </w:tc>
              <w:tc>
                <w:tcPr>
                  <w:tcW w:w="11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8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2.5</w:t>
                  </w:r>
                </w:p>
              </w:tc>
              <w:tc>
                <w:tcPr>
                  <w:tcW w:w="24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13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r>
                    <w:rPr>
                      <w:rFonts w:hint="eastAsia" w:cs="Times New Roman"/>
                      <w:color w:val="auto"/>
                      <w:sz w:val="21"/>
                      <w:szCs w:val="21"/>
                      <w:lang w:val="en-US" w:eastAsia="zh-CN"/>
                    </w:rPr>
                    <w:t>2</w:t>
                  </w:r>
                </w:p>
              </w:tc>
              <w:tc>
                <w:tcPr>
                  <w:tcW w:w="14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w:t>
                  </w:r>
                </w:p>
              </w:tc>
              <w:tc>
                <w:tcPr>
                  <w:tcW w:w="11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62.86</w:t>
                  </w:r>
                </w:p>
              </w:tc>
              <w:tc>
                <w:tcPr>
                  <w:tcW w:w="11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8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p>
              </w:tc>
              <w:tc>
                <w:tcPr>
                  <w:tcW w:w="24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13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w:t>
                  </w:r>
                </w:p>
              </w:tc>
              <w:tc>
                <w:tcPr>
                  <w:tcW w:w="14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11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10.00</w:t>
                  </w:r>
                </w:p>
              </w:tc>
              <w:tc>
                <w:tcPr>
                  <w:tcW w:w="11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8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2</w:t>
                  </w:r>
                </w:p>
              </w:tc>
              <w:tc>
                <w:tcPr>
                  <w:tcW w:w="24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13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17</w:t>
                  </w:r>
                </w:p>
              </w:tc>
              <w:tc>
                <w:tcPr>
                  <w:tcW w:w="14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w:t>
                  </w:r>
                </w:p>
              </w:tc>
              <w:tc>
                <w:tcPr>
                  <w:tcW w:w="11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42.5</w:t>
                  </w:r>
                </w:p>
              </w:tc>
              <w:tc>
                <w:tcPr>
                  <w:tcW w:w="11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8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w:t>
                  </w:r>
                </w:p>
              </w:tc>
              <w:tc>
                <w:tcPr>
                  <w:tcW w:w="24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24小时平均第95百分数（mg/m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13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eastAsia" w:cs="Times New Roman"/>
                      <w:color w:val="auto"/>
                      <w:sz w:val="21"/>
                      <w:szCs w:val="21"/>
                      <w:lang w:val="en-US" w:eastAsia="zh-CN"/>
                    </w:rPr>
                    <w:t>0</w:t>
                  </w:r>
                </w:p>
              </w:tc>
              <w:tc>
                <w:tcPr>
                  <w:tcW w:w="14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1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25.00</w:t>
                  </w:r>
                </w:p>
              </w:tc>
              <w:tc>
                <w:tcPr>
                  <w:tcW w:w="11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8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O</w:t>
                  </w:r>
                  <w:r>
                    <w:rPr>
                      <w:rFonts w:hint="default" w:ascii="Times New Roman" w:hAnsi="Times New Roman" w:eastAsia="宋体" w:cs="Times New Roman"/>
                      <w:color w:val="auto"/>
                      <w:sz w:val="21"/>
                      <w:szCs w:val="21"/>
                      <w:vertAlign w:val="subscript"/>
                    </w:rPr>
                    <w:t>3</w:t>
                  </w:r>
                </w:p>
              </w:tc>
              <w:tc>
                <w:tcPr>
                  <w:tcW w:w="24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日最大8小时滑动平均值的第90百分数</w:t>
                  </w:r>
                </w:p>
              </w:tc>
              <w:tc>
                <w:tcPr>
                  <w:tcW w:w="13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136</w:t>
                  </w:r>
                </w:p>
              </w:tc>
              <w:tc>
                <w:tcPr>
                  <w:tcW w:w="14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160</w:t>
                  </w:r>
                </w:p>
              </w:tc>
              <w:tc>
                <w:tcPr>
                  <w:tcW w:w="11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85.00</w:t>
                  </w:r>
                </w:p>
              </w:tc>
              <w:tc>
                <w:tcPr>
                  <w:tcW w:w="11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bl>
          <w:p>
            <w:pPr>
              <w:pStyle w:val="4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由上表可知，2024年</w:t>
            </w:r>
            <w:r>
              <w:rPr>
                <w:rFonts w:hint="eastAsia" w:ascii="Times New Roman" w:hAnsi="Times New Roman" w:eastAsia="仿宋_GB2312" w:cs="Times New Roman"/>
                <w:color w:val="auto"/>
                <w:kern w:val="2"/>
                <w:sz w:val="24"/>
                <w:szCs w:val="24"/>
                <w:highlight w:val="none"/>
                <w:lang w:val="en-US" w:eastAsia="zh-CN" w:bidi="ar-SA"/>
              </w:rPr>
              <w:t>固原市</w:t>
            </w:r>
            <w:r>
              <w:rPr>
                <w:rFonts w:hint="default" w:ascii="Times New Roman" w:hAnsi="Times New Roman" w:eastAsia="仿宋_GB2312" w:cs="Times New Roman"/>
                <w:color w:val="auto"/>
                <w:kern w:val="2"/>
                <w:sz w:val="24"/>
                <w:szCs w:val="24"/>
                <w:highlight w:val="none"/>
                <w:lang w:val="en-US" w:eastAsia="zh-CN" w:bidi="ar-SA"/>
              </w:rPr>
              <w:t>大气环境中PM</w:t>
            </w:r>
            <w:r>
              <w:rPr>
                <w:rFonts w:hint="default" w:ascii="Times New Roman" w:hAnsi="Times New Roman" w:eastAsia="仿宋_GB2312" w:cs="Times New Roman"/>
                <w:color w:val="auto"/>
                <w:kern w:val="2"/>
                <w:sz w:val="24"/>
                <w:szCs w:val="24"/>
                <w:highlight w:val="none"/>
                <w:vertAlign w:val="subscript"/>
                <w:lang w:val="en-US" w:eastAsia="zh-CN" w:bidi="ar-SA"/>
              </w:rPr>
              <w:t>10</w:t>
            </w:r>
            <w:r>
              <w:rPr>
                <w:rFonts w:hint="default" w:ascii="Times New Roman" w:hAnsi="Times New Roman" w:eastAsia="仿宋_GB2312" w:cs="Times New Roman"/>
                <w:color w:val="auto"/>
                <w:kern w:val="2"/>
                <w:sz w:val="24"/>
                <w:szCs w:val="24"/>
                <w:highlight w:val="none"/>
                <w:lang w:val="en-US" w:eastAsia="zh-CN" w:bidi="ar-SA"/>
              </w:rPr>
              <w:t>、PM</w:t>
            </w:r>
            <w:r>
              <w:rPr>
                <w:rFonts w:hint="default" w:ascii="Times New Roman" w:hAnsi="Times New Roman" w:eastAsia="仿宋_GB2312" w:cs="Times New Roman"/>
                <w:color w:val="auto"/>
                <w:kern w:val="2"/>
                <w:sz w:val="24"/>
                <w:szCs w:val="24"/>
                <w:highlight w:val="none"/>
                <w:vertAlign w:val="subscript"/>
                <w:lang w:val="en-US" w:eastAsia="zh-CN" w:bidi="ar-SA"/>
              </w:rPr>
              <w:t>2.5</w:t>
            </w:r>
            <w:r>
              <w:rPr>
                <w:rFonts w:hint="default" w:ascii="Times New Roman" w:hAnsi="Times New Roman" w:eastAsia="仿宋_GB2312" w:cs="Times New Roman"/>
                <w:color w:val="auto"/>
                <w:kern w:val="2"/>
                <w:sz w:val="24"/>
                <w:szCs w:val="24"/>
                <w:highlight w:val="none"/>
                <w:lang w:val="en-US" w:eastAsia="zh-CN" w:bidi="ar-SA"/>
              </w:rPr>
              <w:t>、SO</w:t>
            </w:r>
            <w:r>
              <w:rPr>
                <w:rFonts w:hint="default" w:ascii="Times New Roman" w:hAnsi="Times New Roman" w:eastAsia="仿宋_GB2312" w:cs="Times New Roman"/>
                <w:color w:val="auto"/>
                <w:kern w:val="2"/>
                <w:sz w:val="24"/>
                <w:szCs w:val="24"/>
                <w:highlight w:val="none"/>
                <w:vertAlign w:val="subscript"/>
                <w:lang w:val="en-US" w:eastAsia="zh-CN" w:bidi="ar-SA"/>
              </w:rPr>
              <w:t>2</w:t>
            </w:r>
            <w:r>
              <w:rPr>
                <w:rFonts w:hint="default" w:ascii="Times New Roman" w:hAnsi="Times New Roman" w:eastAsia="仿宋_GB2312" w:cs="Times New Roman"/>
                <w:color w:val="auto"/>
                <w:kern w:val="2"/>
                <w:sz w:val="24"/>
                <w:szCs w:val="24"/>
                <w:highlight w:val="none"/>
                <w:lang w:val="en-US" w:eastAsia="zh-CN" w:bidi="ar-SA"/>
              </w:rPr>
              <w:t>、NO</w:t>
            </w:r>
            <w:r>
              <w:rPr>
                <w:rFonts w:hint="default" w:ascii="Times New Roman" w:hAnsi="Times New Roman" w:eastAsia="仿宋_GB2312" w:cs="Times New Roman"/>
                <w:color w:val="auto"/>
                <w:kern w:val="2"/>
                <w:sz w:val="24"/>
                <w:szCs w:val="24"/>
                <w:highlight w:val="none"/>
                <w:vertAlign w:val="subscript"/>
                <w:lang w:val="en-US" w:eastAsia="zh-CN" w:bidi="ar-SA"/>
              </w:rPr>
              <w:t>2</w:t>
            </w:r>
            <w:r>
              <w:rPr>
                <w:rFonts w:hint="default" w:ascii="Times New Roman" w:hAnsi="Times New Roman" w:eastAsia="仿宋_GB2312" w:cs="Times New Roman"/>
                <w:color w:val="auto"/>
                <w:kern w:val="2"/>
                <w:sz w:val="24"/>
                <w:szCs w:val="24"/>
                <w:highlight w:val="none"/>
                <w:lang w:val="en-US" w:eastAsia="zh-CN" w:bidi="ar-SA"/>
              </w:rPr>
              <w:t>、CO、O</w:t>
            </w:r>
            <w:r>
              <w:rPr>
                <w:rFonts w:hint="default" w:ascii="Times New Roman" w:hAnsi="Times New Roman" w:eastAsia="仿宋_GB2312" w:cs="Times New Roman"/>
                <w:color w:val="auto"/>
                <w:kern w:val="2"/>
                <w:sz w:val="24"/>
                <w:szCs w:val="24"/>
                <w:highlight w:val="none"/>
                <w:vertAlign w:val="subscript"/>
                <w:lang w:val="en-US" w:eastAsia="zh-CN" w:bidi="ar-SA"/>
              </w:rPr>
              <w:t>3</w:t>
            </w:r>
            <w:r>
              <w:rPr>
                <w:rFonts w:hint="default" w:ascii="Times New Roman" w:hAnsi="Times New Roman" w:eastAsia="仿宋_GB2312" w:cs="Times New Roman"/>
                <w:color w:val="auto"/>
                <w:kern w:val="2"/>
                <w:sz w:val="24"/>
                <w:szCs w:val="24"/>
                <w:highlight w:val="none"/>
                <w:lang w:val="en-US" w:eastAsia="zh-CN" w:bidi="ar-SA"/>
              </w:rPr>
              <w:t>环境监测数据均符合《环境空气质量标准》（GB3095-2012）及修改单中二级标准要求，属于达标区。</w:t>
            </w:r>
          </w:p>
          <w:p>
            <w:pPr>
              <w:pStyle w:val="100"/>
              <w:ind w:firstLine="480"/>
              <w:rPr>
                <w:rFonts w:hint="default" w:ascii="Times New Roman" w:hAnsi="Times New Roman" w:eastAsia="仿宋_GB2312" w:cs="Times New Roman"/>
                <w:b/>
                <w:bCs/>
                <w:color w:val="auto"/>
                <w:lang w:val="en-US" w:eastAsia="zh-CN"/>
              </w:rPr>
            </w:pPr>
            <w:r>
              <w:rPr>
                <w:rFonts w:hint="default" w:ascii="Times New Roman" w:hAnsi="Times New Roman" w:eastAsia="仿宋_GB2312" w:cs="Times New Roman"/>
                <w:b/>
                <w:bCs/>
                <w:color w:val="auto"/>
                <w:lang w:val="en-US" w:eastAsia="zh-CN"/>
              </w:rPr>
              <w:t>环境空气质量现状补充监测</w:t>
            </w:r>
          </w:p>
          <w:p>
            <w:pPr>
              <w:pStyle w:val="100"/>
              <w:ind w:firstLine="480"/>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根据《建设项目环境影响报告表编制技术指南》（污染影响类）（试行）区域环境质量现状中“排放国家、地方环境空气质量标准中有标准限值要求的特征污染物时，引用建设项目周边5千米范围内近3年的现有监测数据，无相关数据的选择当季主导风向下风向1个点位补充不少于3天的监测数据”。</w:t>
            </w:r>
          </w:p>
          <w:p>
            <w:pPr>
              <w:pStyle w:val="100"/>
              <w:ind w:firstLine="480"/>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本项目特征污染物TSP</w:t>
            </w:r>
            <w:r>
              <w:rPr>
                <w:rFonts w:hint="eastAsia" w:ascii="Times New Roman" w:hAnsi="Times New Roman" w:eastAsia="仿宋_GB2312" w:cs="Times New Roman"/>
                <w:color w:val="auto"/>
                <w:lang w:val="en-US" w:eastAsia="zh-CN"/>
              </w:rPr>
              <w:t>，引用宁夏泽瑞隆环保技术有限公司</w:t>
            </w:r>
            <w:r>
              <w:rPr>
                <w:rFonts w:hint="default" w:ascii="Times New Roman" w:hAnsi="Times New Roman" w:eastAsia="仿宋_GB2312" w:cs="Times New Roman"/>
                <w:color w:val="auto"/>
                <w:lang w:val="en-US" w:eastAsia="zh-CN"/>
              </w:rPr>
              <w:t>于202</w:t>
            </w:r>
            <w:r>
              <w:rPr>
                <w:rFonts w:hint="eastAsia" w:ascii="Times New Roman" w:hAnsi="Times New Roman" w:eastAsia="仿宋_GB2312" w:cs="Times New Roman"/>
                <w:color w:val="auto"/>
                <w:lang w:val="en-US" w:eastAsia="zh-CN"/>
              </w:rPr>
              <w:t>5</w:t>
            </w:r>
            <w:r>
              <w:rPr>
                <w:rFonts w:hint="default" w:ascii="Times New Roman" w:hAnsi="Times New Roman" w:eastAsia="仿宋_GB2312" w:cs="Times New Roman"/>
                <w:color w:val="auto"/>
                <w:lang w:val="en-US" w:eastAsia="zh-CN"/>
              </w:rPr>
              <w:t>年</w:t>
            </w:r>
            <w:r>
              <w:rPr>
                <w:rFonts w:hint="eastAsia" w:ascii="Times New Roman" w:hAnsi="Times New Roman" w:eastAsia="仿宋_GB2312" w:cs="Times New Roman"/>
                <w:color w:val="auto"/>
                <w:lang w:val="en-US" w:eastAsia="zh-CN"/>
              </w:rPr>
              <w:t>8</w:t>
            </w:r>
            <w:r>
              <w:rPr>
                <w:rFonts w:hint="default" w:ascii="Times New Roman" w:hAnsi="Times New Roman" w:eastAsia="仿宋_GB2312" w:cs="Times New Roman"/>
                <w:color w:val="auto"/>
                <w:lang w:val="en-US" w:eastAsia="zh-CN"/>
              </w:rPr>
              <w:t>月</w:t>
            </w:r>
            <w:r>
              <w:rPr>
                <w:rFonts w:hint="eastAsia" w:ascii="Times New Roman" w:hAnsi="Times New Roman" w:eastAsia="仿宋_GB2312" w:cs="Times New Roman"/>
                <w:color w:val="auto"/>
                <w:lang w:val="en-US" w:eastAsia="zh-CN"/>
              </w:rPr>
              <w:t>检测报告《宁夏回族自治区泾源县黄河流域农业面源污染综合治理项目监测》（宁泽检WT-2025-406）中相关检测数据，</w:t>
            </w:r>
            <w:r>
              <w:rPr>
                <w:rFonts w:hint="default" w:ascii="Times New Roman" w:hAnsi="Times New Roman" w:eastAsia="仿宋_GB2312" w:cs="Times New Roman"/>
                <w:color w:val="auto"/>
                <w:lang w:val="en-US" w:eastAsia="zh-CN"/>
              </w:rPr>
              <w:t>具体监测</w:t>
            </w:r>
            <w:r>
              <w:rPr>
                <w:rFonts w:hint="eastAsia" w:ascii="Times New Roman" w:hAnsi="Times New Roman" w:eastAsia="仿宋_GB2312" w:cs="Times New Roman"/>
                <w:color w:val="auto"/>
                <w:lang w:val="en-US" w:eastAsia="zh-CN"/>
              </w:rPr>
              <w:t>点位分布见表1</w:t>
            </w:r>
            <w:r>
              <w:rPr>
                <w:rFonts w:hint="eastAsia" w:eastAsia="仿宋_GB2312" w:cs="Times New Roman"/>
                <w:color w:val="auto"/>
                <w:lang w:val="en-US" w:eastAsia="zh-CN"/>
              </w:rPr>
              <w:t>0</w:t>
            </w:r>
            <w:r>
              <w:rPr>
                <w:rFonts w:hint="eastAsia" w:ascii="Times New Roman" w:hAnsi="Times New Roman" w:eastAsia="仿宋_GB2312" w:cs="Times New Roman"/>
                <w:color w:val="auto"/>
                <w:lang w:val="en-US" w:eastAsia="zh-CN"/>
              </w:rPr>
              <w:t>及图</w:t>
            </w:r>
            <w:r>
              <w:rPr>
                <w:rFonts w:hint="eastAsia" w:eastAsia="仿宋_GB2312" w:cs="Times New Roman"/>
                <w:color w:val="auto"/>
                <w:lang w:val="en-US" w:eastAsia="zh-CN"/>
              </w:rPr>
              <w:t>1</w:t>
            </w:r>
            <w:r>
              <w:rPr>
                <w:rFonts w:hint="eastAsia" w:ascii="Times New Roman" w:hAnsi="Times New Roman" w:eastAsia="仿宋_GB2312" w:cs="Times New Roman"/>
                <w:color w:val="auto"/>
                <w:lang w:val="en-US" w:eastAsia="zh-CN"/>
              </w:rPr>
              <w:t>。</w:t>
            </w:r>
          </w:p>
          <w:p>
            <w:pPr>
              <w:pStyle w:val="2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bCs w:val="0"/>
                <w:caps w:val="0"/>
                <w:smallCaps w:val="0"/>
                <w:snapToGrid/>
                <w:color w:val="auto"/>
                <w:spacing w:val="0"/>
                <w:w w:val="100"/>
                <w:kern w:val="0"/>
                <w:position w:val="0"/>
                <w:sz w:val="24"/>
                <w:szCs w:val="24"/>
                <w:highlight w:val="none"/>
                <w:lang w:val="en-US" w:eastAsia="zh-CN" w:bidi="ar-SA"/>
              </w:rPr>
            </w:pPr>
            <w:r>
              <w:rPr>
                <w:rFonts w:hint="default" w:ascii="Times New Roman" w:hAnsi="Times New Roman" w:eastAsia="宋体" w:cs="Times New Roman"/>
                <w:b w:val="0"/>
                <w:bCs/>
                <w:caps w:val="0"/>
                <w:smallCaps w:val="0"/>
                <w:snapToGrid/>
                <w:color w:val="auto"/>
                <w:spacing w:val="0"/>
                <w:w w:val="100"/>
                <w:kern w:val="0"/>
                <w:position w:val="0"/>
                <w:sz w:val="21"/>
                <w:szCs w:val="21"/>
                <w:highlight w:val="none"/>
                <w:lang w:val="en-US" w:eastAsia="zh-CN" w:bidi="ar-SA"/>
              </w:rPr>
              <w:t>表</w:t>
            </w:r>
            <w:r>
              <w:rPr>
                <w:rFonts w:hint="eastAsia" w:eastAsia="宋体" w:cs="Times New Roman"/>
                <w:b w:val="0"/>
                <w:bCs/>
                <w:caps w:val="0"/>
                <w:smallCaps w:val="0"/>
                <w:snapToGrid/>
                <w:color w:val="auto"/>
                <w:spacing w:val="0"/>
                <w:w w:val="100"/>
                <w:kern w:val="0"/>
                <w:position w:val="0"/>
                <w:sz w:val="21"/>
                <w:szCs w:val="21"/>
                <w:highlight w:val="none"/>
                <w:lang w:val="en-US" w:eastAsia="zh-CN" w:bidi="ar-SA"/>
              </w:rPr>
              <w:t>10</w:t>
            </w:r>
            <w:r>
              <w:rPr>
                <w:rFonts w:hint="default" w:ascii="Times New Roman" w:hAnsi="Times New Roman" w:eastAsia="宋体" w:cs="Times New Roman"/>
                <w:b w:val="0"/>
                <w:bCs/>
                <w:caps w:val="0"/>
                <w:smallCaps w:val="0"/>
                <w:snapToGrid/>
                <w:color w:val="auto"/>
                <w:spacing w:val="0"/>
                <w:w w:val="100"/>
                <w:kern w:val="0"/>
                <w:position w:val="0"/>
                <w:sz w:val="21"/>
                <w:szCs w:val="21"/>
                <w:highlight w:val="none"/>
                <w:lang w:val="en-US" w:eastAsia="zh-CN" w:bidi="ar-SA"/>
              </w:rPr>
              <w:t xml:space="preserve"> </w:t>
            </w:r>
            <w:r>
              <w:rPr>
                <w:rFonts w:hint="default" w:ascii="Times New Roman" w:hAnsi="Times New Roman" w:eastAsia="宋体" w:cs="Times New Roman"/>
                <w:b/>
                <w:bCs w:val="0"/>
                <w:caps w:val="0"/>
                <w:smallCaps w:val="0"/>
                <w:snapToGrid/>
                <w:color w:val="auto"/>
                <w:spacing w:val="0"/>
                <w:w w:val="100"/>
                <w:kern w:val="0"/>
                <w:position w:val="0"/>
                <w:sz w:val="24"/>
                <w:szCs w:val="24"/>
                <w:highlight w:val="none"/>
                <w:lang w:val="en-US" w:eastAsia="zh-CN" w:bidi="ar-SA"/>
              </w:rPr>
              <w:t xml:space="preserve"> </w:t>
            </w:r>
            <w:r>
              <w:rPr>
                <w:rFonts w:hint="eastAsia" w:eastAsia="宋体" w:cs="Times New Roman"/>
                <w:b/>
                <w:bCs w:val="0"/>
                <w:caps w:val="0"/>
                <w:smallCaps w:val="0"/>
                <w:snapToGrid/>
                <w:color w:val="auto"/>
                <w:spacing w:val="0"/>
                <w:w w:val="100"/>
                <w:kern w:val="0"/>
                <w:position w:val="0"/>
                <w:sz w:val="24"/>
                <w:szCs w:val="24"/>
                <w:highlight w:val="none"/>
                <w:lang w:val="en-US" w:eastAsia="zh-CN" w:bidi="ar-SA"/>
              </w:rPr>
              <w:t xml:space="preserve">                  </w:t>
            </w:r>
            <w:r>
              <w:rPr>
                <w:rFonts w:hint="default" w:ascii="Times New Roman" w:hAnsi="Times New Roman" w:eastAsia="宋体" w:cs="Times New Roman"/>
                <w:b/>
                <w:bCs w:val="0"/>
                <w:caps w:val="0"/>
                <w:smallCaps w:val="0"/>
                <w:snapToGrid/>
                <w:color w:val="auto"/>
                <w:spacing w:val="0"/>
                <w:w w:val="100"/>
                <w:kern w:val="0"/>
                <w:position w:val="0"/>
                <w:sz w:val="24"/>
                <w:szCs w:val="24"/>
                <w:highlight w:val="none"/>
                <w:lang w:val="en-US" w:eastAsia="zh-CN" w:bidi="ar-SA"/>
              </w:rPr>
              <w:t>本项目监测点位情况</w:t>
            </w:r>
          </w:p>
          <w:tbl>
            <w:tblPr>
              <w:tblStyle w:val="36"/>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90"/>
              <w:gridCol w:w="3346"/>
              <w:gridCol w:w="2011"/>
              <w:gridCol w:w="14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点位编号</w:t>
                  </w:r>
                </w:p>
              </w:tc>
              <w:tc>
                <w:tcPr>
                  <w:tcW w:w="19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坐标</w:t>
                  </w:r>
                </w:p>
              </w:tc>
              <w:tc>
                <w:tcPr>
                  <w:tcW w:w="11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与本项目位置关系</w:t>
                  </w:r>
                </w:p>
              </w:tc>
              <w:tc>
                <w:tcPr>
                  <w:tcW w:w="8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监测因子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3</w:t>
                  </w: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9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E：106°22′45.282″</w:t>
                  </w:r>
                  <w:r>
                    <w:rPr>
                      <w:rFonts w:hint="default" w:ascii="Times New Roman" w:hAnsi="Times New Roman"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N：35°24′28.957″</w:t>
                  </w:r>
                </w:p>
              </w:tc>
              <w:tc>
                <w:tcPr>
                  <w:tcW w:w="11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NW/1.2km</w:t>
                  </w:r>
                </w:p>
              </w:tc>
              <w:tc>
                <w:tcPr>
                  <w:tcW w:w="8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TSP</w:t>
                  </w:r>
                </w:p>
              </w:tc>
            </w:tr>
          </w:tbl>
          <w:p>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黑体" w:cs="Times New Roman"/>
                <w:color w:val="auto"/>
                <w:highlight w:val="none"/>
                <w:lang w:val="en-US" w:eastAsia="zh-CN"/>
              </w:rPr>
            </w:pPr>
            <w:r>
              <w:rPr>
                <w:color w:val="auto"/>
              </w:rPr>
              <w:drawing>
                <wp:inline distT="0" distB="0" distL="114300" distR="114300">
                  <wp:extent cx="5363845" cy="3067050"/>
                  <wp:effectExtent l="0" t="0" r="8255" b="0"/>
                  <wp:docPr id="5"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true"/>
                          </pic:cNvPicPr>
                        </pic:nvPicPr>
                        <pic:blipFill>
                          <a:blip r:embed="rId9"/>
                          <a:stretch>
                            <a:fillRect/>
                          </a:stretch>
                        </pic:blipFill>
                        <pic:spPr>
                          <a:xfrm>
                            <a:off x="0" y="0"/>
                            <a:ext cx="5363845" cy="3067050"/>
                          </a:xfrm>
                          <a:prstGeom prst="rect">
                            <a:avLst/>
                          </a:prstGeom>
                          <a:noFill/>
                          <a:ln>
                            <a:noFill/>
                          </a:ln>
                        </pic:spPr>
                      </pic:pic>
                    </a:graphicData>
                  </a:graphic>
                </wp:inline>
              </w:drawing>
            </w:r>
          </w:p>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图3  环境空气现状监测点位分布图</w:t>
            </w:r>
          </w:p>
          <w:p>
            <w:pPr>
              <w:pStyle w:val="100"/>
              <w:ind w:firstLine="480"/>
              <w:rPr>
                <w:rFonts w:hint="default" w:ascii="Times New Roman" w:hAnsi="Times New Roman" w:eastAsia="仿宋_GB2312" w:cs="Times New Roman"/>
                <w:b w:val="0"/>
                <w:bCs/>
                <w:snapToGrid/>
                <w:color w:val="auto"/>
                <w:kern w:val="2"/>
                <w:sz w:val="24"/>
                <w:szCs w:val="24"/>
                <w:highlight w:val="none"/>
                <w:lang w:val="en-US" w:eastAsia="zh-CN" w:bidi="ar-SA"/>
              </w:rPr>
            </w:pPr>
            <w:r>
              <w:rPr>
                <w:rFonts w:hint="default" w:ascii="Times New Roman" w:hAnsi="Times New Roman" w:eastAsia="仿宋_GB2312" w:cs="Times New Roman"/>
                <w:b w:val="0"/>
                <w:bCs/>
                <w:snapToGrid/>
                <w:color w:val="auto"/>
                <w:kern w:val="2"/>
                <w:sz w:val="24"/>
                <w:szCs w:val="24"/>
                <w:highlight w:val="none"/>
                <w:lang w:val="en-US" w:eastAsia="zh-CN" w:bidi="ar-SA"/>
              </w:rPr>
              <w:t>TSP监测结果见表</w:t>
            </w:r>
            <w:r>
              <w:rPr>
                <w:rFonts w:hint="eastAsia" w:ascii="Times New Roman" w:hAnsi="Times New Roman" w:eastAsia="仿宋_GB2312" w:cs="Times New Roman"/>
                <w:b w:val="0"/>
                <w:bCs/>
                <w:snapToGrid/>
                <w:color w:val="auto"/>
                <w:kern w:val="2"/>
                <w:sz w:val="24"/>
                <w:szCs w:val="24"/>
                <w:highlight w:val="none"/>
                <w:lang w:val="en-US" w:eastAsia="zh-CN" w:bidi="ar-SA"/>
              </w:rPr>
              <w:t>1</w:t>
            </w:r>
            <w:r>
              <w:rPr>
                <w:rFonts w:hint="eastAsia" w:eastAsia="仿宋_GB2312" w:cs="Times New Roman"/>
                <w:b w:val="0"/>
                <w:bCs/>
                <w:snapToGrid/>
                <w:color w:val="auto"/>
                <w:kern w:val="2"/>
                <w:sz w:val="24"/>
                <w:szCs w:val="24"/>
                <w:highlight w:val="none"/>
                <w:lang w:val="en-US" w:eastAsia="zh-CN" w:bidi="ar-SA"/>
              </w:rPr>
              <w:t>1</w:t>
            </w:r>
            <w:r>
              <w:rPr>
                <w:rFonts w:hint="default" w:ascii="Times New Roman" w:hAnsi="Times New Roman" w:eastAsia="仿宋_GB2312" w:cs="Times New Roman"/>
                <w:b w:val="0"/>
                <w:bCs/>
                <w:snapToGrid/>
                <w:color w:val="auto"/>
                <w:kern w:val="2"/>
                <w:sz w:val="24"/>
                <w:szCs w:val="24"/>
                <w:highlight w:val="none"/>
                <w:lang w:val="en-US" w:eastAsia="zh-CN" w:bidi="ar-SA"/>
              </w:rPr>
              <w:t>。</w:t>
            </w:r>
          </w:p>
          <w:p>
            <w:pPr>
              <w:pStyle w:val="2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bCs w:val="0"/>
                <w:caps w:val="0"/>
                <w:smallCaps w:val="0"/>
                <w:snapToGrid/>
                <w:color w:val="auto"/>
                <w:spacing w:val="0"/>
                <w:w w:val="100"/>
                <w:kern w:val="0"/>
                <w:position w:val="0"/>
                <w:sz w:val="24"/>
                <w:szCs w:val="24"/>
                <w:highlight w:val="none"/>
                <w:lang w:val="en-US" w:eastAsia="zh-CN" w:bidi="ar-SA"/>
              </w:rPr>
            </w:pPr>
            <w:r>
              <w:rPr>
                <w:rFonts w:hint="default" w:ascii="Times New Roman" w:hAnsi="Times New Roman" w:eastAsia="宋体" w:cs="Times New Roman"/>
                <w:b w:val="0"/>
                <w:bCs/>
                <w:caps w:val="0"/>
                <w:smallCaps w:val="0"/>
                <w:snapToGrid/>
                <w:color w:val="auto"/>
                <w:spacing w:val="0"/>
                <w:w w:val="100"/>
                <w:kern w:val="0"/>
                <w:position w:val="0"/>
                <w:sz w:val="21"/>
                <w:szCs w:val="21"/>
                <w:highlight w:val="none"/>
                <w:lang w:val="en-US" w:eastAsia="zh-CN" w:bidi="ar-SA"/>
              </w:rPr>
              <w:t>表</w:t>
            </w:r>
            <w:r>
              <w:rPr>
                <w:rFonts w:hint="eastAsia" w:ascii="Times New Roman" w:hAnsi="Times New Roman" w:eastAsia="宋体" w:cs="Times New Roman"/>
                <w:b w:val="0"/>
                <w:bCs/>
                <w:caps w:val="0"/>
                <w:smallCaps w:val="0"/>
                <w:snapToGrid/>
                <w:color w:val="auto"/>
                <w:spacing w:val="0"/>
                <w:w w:val="100"/>
                <w:kern w:val="0"/>
                <w:position w:val="0"/>
                <w:sz w:val="21"/>
                <w:szCs w:val="21"/>
                <w:highlight w:val="none"/>
                <w:lang w:val="en-US" w:eastAsia="zh-CN" w:bidi="ar-SA"/>
              </w:rPr>
              <w:t>1</w:t>
            </w:r>
            <w:r>
              <w:rPr>
                <w:rFonts w:hint="eastAsia" w:eastAsia="宋体" w:cs="Times New Roman"/>
                <w:b w:val="0"/>
                <w:bCs/>
                <w:caps w:val="0"/>
                <w:smallCaps w:val="0"/>
                <w:snapToGrid/>
                <w:color w:val="auto"/>
                <w:spacing w:val="0"/>
                <w:w w:val="100"/>
                <w:kern w:val="0"/>
                <w:position w:val="0"/>
                <w:sz w:val="21"/>
                <w:szCs w:val="21"/>
                <w:highlight w:val="none"/>
                <w:lang w:val="en-US" w:eastAsia="zh-CN" w:bidi="ar-SA"/>
              </w:rPr>
              <w:t>1</w:t>
            </w:r>
            <w:r>
              <w:rPr>
                <w:rFonts w:hint="default" w:ascii="Times New Roman" w:hAnsi="Times New Roman" w:eastAsia="宋体" w:cs="Times New Roman"/>
                <w:b w:val="0"/>
                <w:bCs/>
                <w:caps w:val="0"/>
                <w:smallCaps w:val="0"/>
                <w:snapToGrid/>
                <w:color w:val="auto"/>
                <w:spacing w:val="0"/>
                <w:w w:val="100"/>
                <w:kern w:val="0"/>
                <w:position w:val="0"/>
                <w:sz w:val="21"/>
                <w:szCs w:val="21"/>
                <w:highlight w:val="none"/>
                <w:lang w:val="en-US" w:eastAsia="zh-CN" w:bidi="ar-SA"/>
              </w:rPr>
              <w:t xml:space="preserve"> </w:t>
            </w:r>
            <w:r>
              <w:rPr>
                <w:rFonts w:hint="eastAsia" w:eastAsia="宋体" w:cs="Times New Roman"/>
                <w:b/>
                <w:bCs w:val="0"/>
                <w:caps w:val="0"/>
                <w:smallCaps w:val="0"/>
                <w:snapToGrid/>
                <w:color w:val="auto"/>
                <w:spacing w:val="0"/>
                <w:w w:val="100"/>
                <w:kern w:val="0"/>
                <w:position w:val="0"/>
                <w:sz w:val="24"/>
                <w:szCs w:val="24"/>
                <w:highlight w:val="none"/>
                <w:lang w:val="en-US" w:eastAsia="zh-CN" w:bidi="ar-SA"/>
              </w:rPr>
              <w:t xml:space="preserve">                   </w:t>
            </w:r>
            <w:r>
              <w:rPr>
                <w:rFonts w:hint="default" w:ascii="Times New Roman" w:hAnsi="Times New Roman" w:eastAsia="宋体" w:cs="Times New Roman"/>
                <w:b/>
                <w:bCs w:val="0"/>
                <w:caps w:val="0"/>
                <w:smallCaps w:val="0"/>
                <w:snapToGrid/>
                <w:color w:val="auto"/>
                <w:spacing w:val="0"/>
                <w:w w:val="100"/>
                <w:kern w:val="0"/>
                <w:position w:val="0"/>
                <w:sz w:val="24"/>
                <w:szCs w:val="24"/>
                <w:highlight w:val="none"/>
                <w:lang w:val="en-US" w:eastAsia="zh-CN" w:bidi="ar-SA"/>
              </w:rPr>
              <w:t>监测结果统计表</w:t>
            </w:r>
          </w:p>
          <w:tbl>
            <w:tblPr>
              <w:tblStyle w:val="3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93"/>
              <w:gridCol w:w="1077"/>
              <w:gridCol w:w="1226"/>
              <w:gridCol w:w="1255"/>
              <w:gridCol w:w="946"/>
              <w:gridCol w:w="1030"/>
              <w:gridCol w:w="850"/>
              <w:gridCol w:w="8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176" w:type="dxa"/>
                  <w:vMerge w:val="restart"/>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污染物</w:t>
                  </w:r>
                </w:p>
              </w:tc>
              <w:tc>
                <w:tcPr>
                  <w:tcW w:w="1062" w:type="dxa"/>
                  <w:vMerge w:val="restart"/>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日均值</w:t>
                  </w:r>
                </w:p>
              </w:tc>
              <w:tc>
                <w:tcPr>
                  <w:tcW w:w="2447" w:type="dxa"/>
                  <w:gridSpan w:val="2"/>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监测结果</w:t>
                  </w:r>
                  <w:r>
                    <w:rPr>
                      <w:rFonts w:hint="eastAsia" w:cs="Times New Roman"/>
                      <w:b/>
                      <w:bCs/>
                      <w:color w:val="auto"/>
                      <w:sz w:val="21"/>
                      <w:szCs w:val="21"/>
                      <w:highlight w:val="none"/>
                      <w:vertAlign w:val="baseline"/>
                      <w:lang w:val="en-US" w:eastAsia="zh-CN"/>
                    </w:rPr>
                    <w:t>（</w:t>
                  </w:r>
                  <w:r>
                    <w:rPr>
                      <w:rFonts w:hint="default" w:ascii="Times New Roman" w:hAnsi="Times New Roman" w:cs="Times New Roman"/>
                      <w:b/>
                      <w:bCs/>
                      <w:color w:val="auto"/>
                      <w:sz w:val="21"/>
                      <w:szCs w:val="21"/>
                      <w:highlight w:val="none"/>
                      <w:vertAlign w:val="baseline"/>
                      <w:lang w:val="en-US" w:eastAsia="zh-CN"/>
                    </w:rPr>
                    <w:t>μg/m³</w:t>
                  </w:r>
                  <w:r>
                    <w:rPr>
                      <w:rFonts w:hint="eastAsia" w:cs="Times New Roman"/>
                      <w:b/>
                      <w:bCs/>
                      <w:color w:val="auto"/>
                      <w:sz w:val="21"/>
                      <w:szCs w:val="21"/>
                      <w:highlight w:val="none"/>
                      <w:vertAlign w:val="baseline"/>
                      <w:lang w:val="en-US" w:eastAsia="zh-CN"/>
                    </w:rPr>
                    <w:t>）</w:t>
                  </w:r>
                </w:p>
              </w:tc>
              <w:tc>
                <w:tcPr>
                  <w:tcW w:w="933" w:type="dxa"/>
                  <w:vMerge w:val="restart"/>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标准值</w:t>
                  </w:r>
                  <w:r>
                    <w:rPr>
                      <w:rFonts w:hint="eastAsia" w:cs="Times New Roman"/>
                      <w:b/>
                      <w:bCs/>
                      <w:color w:val="auto"/>
                      <w:sz w:val="21"/>
                      <w:szCs w:val="21"/>
                      <w:highlight w:val="none"/>
                      <w:vertAlign w:val="baseline"/>
                      <w:lang w:val="en-US" w:eastAsia="zh-CN"/>
                    </w:rPr>
                    <w:t>（</w:t>
                  </w:r>
                  <w:r>
                    <w:rPr>
                      <w:rFonts w:hint="default" w:ascii="Times New Roman" w:hAnsi="Times New Roman" w:cs="Times New Roman"/>
                      <w:b/>
                      <w:bCs/>
                      <w:color w:val="auto"/>
                      <w:sz w:val="21"/>
                      <w:szCs w:val="21"/>
                      <w:highlight w:val="none"/>
                      <w:vertAlign w:val="baseline"/>
                      <w:lang w:val="en-US" w:eastAsia="zh-CN"/>
                    </w:rPr>
                    <w:t>μg/m³</w:t>
                  </w:r>
                  <w:r>
                    <w:rPr>
                      <w:rFonts w:hint="eastAsia" w:cs="Times New Roman"/>
                      <w:b/>
                      <w:bCs/>
                      <w:color w:val="auto"/>
                      <w:sz w:val="21"/>
                      <w:szCs w:val="21"/>
                      <w:highlight w:val="none"/>
                      <w:vertAlign w:val="baseline"/>
                      <w:lang w:val="en-US" w:eastAsia="zh-CN"/>
                    </w:rPr>
                    <w:t>）</w:t>
                  </w:r>
                </w:p>
              </w:tc>
              <w:tc>
                <w:tcPr>
                  <w:tcW w:w="1016" w:type="dxa"/>
                  <w:vMerge w:val="restart"/>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最大占标率</w:t>
                  </w:r>
                  <w:r>
                    <w:rPr>
                      <w:rFonts w:hint="eastAsia" w:cs="Times New Roman"/>
                      <w:b/>
                      <w:bCs/>
                      <w:color w:val="auto"/>
                      <w:sz w:val="21"/>
                      <w:szCs w:val="21"/>
                      <w:highlight w:val="none"/>
                      <w:vertAlign w:val="baseline"/>
                      <w:lang w:val="en-US" w:eastAsia="zh-CN"/>
                    </w:rPr>
                    <w:t>（</w:t>
                  </w:r>
                  <w:r>
                    <w:rPr>
                      <w:rFonts w:hint="default" w:ascii="Times New Roman" w:hAnsi="Times New Roman" w:cs="Times New Roman"/>
                      <w:b/>
                      <w:bCs/>
                      <w:color w:val="auto"/>
                      <w:sz w:val="21"/>
                      <w:szCs w:val="21"/>
                      <w:highlight w:val="none"/>
                      <w:vertAlign w:val="baseline"/>
                      <w:lang w:val="en-US" w:eastAsia="zh-CN"/>
                    </w:rPr>
                    <w:t>%</w:t>
                  </w:r>
                  <w:r>
                    <w:rPr>
                      <w:rFonts w:hint="eastAsia" w:cs="Times New Roman"/>
                      <w:b/>
                      <w:bCs/>
                      <w:color w:val="auto"/>
                      <w:sz w:val="21"/>
                      <w:szCs w:val="21"/>
                      <w:highlight w:val="none"/>
                      <w:vertAlign w:val="baseline"/>
                      <w:lang w:val="en-US" w:eastAsia="zh-CN"/>
                    </w:rPr>
                    <w:t>）</w:t>
                  </w:r>
                </w:p>
              </w:tc>
              <w:tc>
                <w:tcPr>
                  <w:tcW w:w="838" w:type="dxa"/>
                  <w:vMerge w:val="restart"/>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超标率</w:t>
                  </w:r>
                  <w:r>
                    <w:rPr>
                      <w:rFonts w:hint="eastAsia" w:cs="Times New Roman"/>
                      <w:b/>
                      <w:bCs/>
                      <w:color w:val="auto"/>
                      <w:sz w:val="21"/>
                      <w:szCs w:val="21"/>
                      <w:highlight w:val="none"/>
                      <w:vertAlign w:val="baseline"/>
                      <w:lang w:val="en-US" w:eastAsia="zh-CN"/>
                    </w:rPr>
                    <w:t>（</w:t>
                  </w:r>
                  <w:r>
                    <w:rPr>
                      <w:rFonts w:hint="default" w:ascii="Times New Roman" w:hAnsi="Times New Roman" w:cs="Times New Roman"/>
                      <w:b/>
                      <w:bCs/>
                      <w:color w:val="auto"/>
                      <w:sz w:val="21"/>
                      <w:szCs w:val="21"/>
                      <w:highlight w:val="none"/>
                      <w:vertAlign w:val="baseline"/>
                      <w:lang w:val="en-US" w:eastAsia="zh-CN"/>
                    </w:rPr>
                    <w:t>%</w:t>
                  </w:r>
                  <w:r>
                    <w:rPr>
                      <w:rFonts w:hint="eastAsia" w:cs="Times New Roman"/>
                      <w:b/>
                      <w:bCs/>
                      <w:color w:val="auto"/>
                      <w:sz w:val="21"/>
                      <w:szCs w:val="21"/>
                      <w:highlight w:val="none"/>
                      <w:vertAlign w:val="baseline"/>
                      <w:lang w:val="en-US" w:eastAsia="zh-CN"/>
                    </w:rPr>
                    <w:t>）</w:t>
                  </w:r>
                </w:p>
              </w:tc>
              <w:tc>
                <w:tcPr>
                  <w:tcW w:w="834" w:type="dxa"/>
                  <w:vMerge w:val="restart"/>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176" w:type="dxa"/>
                  <w:vMerge w:val="continue"/>
                  <w:tcBorders>
                    <w:tl2br w:val="nil"/>
                    <w:tr2bl w:val="nil"/>
                  </w:tcBorders>
                  <w:noWrap w:val="0"/>
                  <w:vAlign w:val="center"/>
                </w:tcPr>
                <w:p>
                  <w:pPr>
                    <w:spacing w:line="240" w:lineRule="auto"/>
                    <w:jc w:val="center"/>
                    <w:rPr>
                      <w:rFonts w:hint="default" w:ascii="Times New Roman" w:hAnsi="Times New Roman" w:cs="Times New Roman"/>
                      <w:color w:val="auto"/>
                      <w:highlight w:val="none"/>
                    </w:rPr>
                  </w:pPr>
                </w:p>
              </w:tc>
              <w:tc>
                <w:tcPr>
                  <w:tcW w:w="1062" w:type="dxa"/>
                  <w:vMerge w:val="continue"/>
                  <w:tcBorders>
                    <w:tl2br w:val="nil"/>
                    <w:tr2bl w:val="nil"/>
                  </w:tcBorders>
                  <w:noWrap w:val="0"/>
                  <w:vAlign w:val="center"/>
                </w:tcPr>
                <w:p>
                  <w:pPr>
                    <w:spacing w:line="240" w:lineRule="auto"/>
                    <w:jc w:val="center"/>
                    <w:rPr>
                      <w:rFonts w:hint="default" w:ascii="Times New Roman" w:hAnsi="Times New Roman" w:cs="Times New Roman"/>
                      <w:color w:val="auto"/>
                      <w:highlight w:val="none"/>
                    </w:rPr>
                  </w:pPr>
                </w:p>
              </w:tc>
              <w:tc>
                <w:tcPr>
                  <w:tcW w:w="1209" w:type="dxa"/>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最小值</w:t>
                  </w:r>
                </w:p>
              </w:tc>
              <w:tc>
                <w:tcPr>
                  <w:tcW w:w="1238" w:type="dxa"/>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最大值</w:t>
                  </w:r>
                </w:p>
              </w:tc>
              <w:tc>
                <w:tcPr>
                  <w:tcW w:w="933" w:type="dxa"/>
                  <w:vMerge w:val="continue"/>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highlight w:val="none"/>
                      <w:vertAlign w:val="baseline"/>
                      <w:lang w:val="en-US" w:eastAsia="zh-CN"/>
                    </w:rPr>
                  </w:pPr>
                </w:p>
              </w:tc>
              <w:tc>
                <w:tcPr>
                  <w:tcW w:w="1016" w:type="dxa"/>
                  <w:vMerge w:val="continue"/>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highlight w:val="none"/>
                      <w:vertAlign w:val="baseline"/>
                      <w:lang w:val="en-US" w:eastAsia="zh-CN"/>
                    </w:rPr>
                  </w:pPr>
                </w:p>
              </w:tc>
              <w:tc>
                <w:tcPr>
                  <w:tcW w:w="838" w:type="dxa"/>
                  <w:vMerge w:val="continue"/>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highlight w:val="none"/>
                      <w:vertAlign w:val="baseline"/>
                      <w:lang w:val="en-US" w:eastAsia="zh-CN"/>
                    </w:rPr>
                  </w:pPr>
                </w:p>
              </w:tc>
              <w:tc>
                <w:tcPr>
                  <w:tcW w:w="834" w:type="dxa"/>
                  <w:vMerge w:val="continue"/>
                  <w:tcBorders>
                    <w:tl2br w:val="nil"/>
                    <w:tr2bl w:val="nil"/>
                  </w:tcBorders>
                  <w:noWrap w:val="0"/>
                  <w:vAlign w:val="center"/>
                </w:tcPr>
                <w:p>
                  <w:pPr>
                    <w:spacing w:line="240" w:lineRule="auto"/>
                    <w:jc w:val="center"/>
                    <w:rPr>
                      <w:rFonts w:hint="default" w:ascii="Times New Roman" w:hAnsi="Times New Roman" w:cs="Times New Roman"/>
                      <w:b/>
                      <w:bCs/>
                      <w:color w:val="auto"/>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176" w:type="dxa"/>
                  <w:tcBorders>
                    <w:tl2br w:val="nil"/>
                    <w:tr2bl w:val="nil"/>
                  </w:tcBorders>
                  <w:noWrap w:val="0"/>
                  <w:vAlign w:val="center"/>
                </w:tcPr>
                <w:p>
                  <w:pPr>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TSP</w:t>
                  </w:r>
                </w:p>
              </w:tc>
              <w:tc>
                <w:tcPr>
                  <w:tcW w:w="1062" w:type="dxa"/>
                  <w:tcBorders>
                    <w:tl2br w:val="nil"/>
                    <w:tr2bl w:val="nil"/>
                  </w:tcBorders>
                  <w:noWrap w:val="0"/>
                  <w:vAlign w:val="center"/>
                </w:tcPr>
                <w:p>
                  <w:pPr>
                    <w:pStyle w:val="42"/>
                    <w:tabs>
                      <w:tab w:val="left" w:pos="4584"/>
                    </w:tabs>
                    <w:spacing w:line="240" w:lineRule="auto"/>
                    <w:ind w:left="0" w:lef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24h</w:t>
                  </w:r>
                </w:p>
              </w:tc>
              <w:tc>
                <w:tcPr>
                  <w:tcW w:w="1209" w:type="dxa"/>
                  <w:tcBorders>
                    <w:tl2br w:val="nil"/>
                    <w:tr2bl w:val="nil"/>
                  </w:tcBorders>
                  <w:noWrap w:val="0"/>
                  <w:vAlign w:val="center"/>
                </w:tcPr>
                <w:p>
                  <w:pPr>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23</w:t>
                  </w:r>
                </w:p>
              </w:tc>
              <w:tc>
                <w:tcPr>
                  <w:tcW w:w="1238" w:type="dxa"/>
                  <w:tcBorders>
                    <w:tl2br w:val="nil"/>
                    <w:tr2bl w:val="nil"/>
                  </w:tcBorders>
                  <w:noWrap w:val="0"/>
                  <w:vAlign w:val="center"/>
                </w:tcPr>
                <w:p>
                  <w:pPr>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81</w:t>
                  </w:r>
                </w:p>
              </w:tc>
              <w:tc>
                <w:tcPr>
                  <w:tcW w:w="933" w:type="dxa"/>
                  <w:tcBorders>
                    <w:tl2br w:val="nil"/>
                    <w:tr2bl w:val="nil"/>
                  </w:tcBorders>
                  <w:noWrap w:val="0"/>
                  <w:vAlign w:val="center"/>
                </w:tcPr>
                <w:p>
                  <w:pPr>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300</w:t>
                  </w:r>
                </w:p>
              </w:tc>
              <w:tc>
                <w:tcPr>
                  <w:tcW w:w="1016" w:type="dxa"/>
                  <w:tcBorders>
                    <w:tl2br w:val="nil"/>
                    <w:tr2bl w:val="nil"/>
                  </w:tcBorders>
                  <w:noWrap w:val="0"/>
                  <w:vAlign w:val="center"/>
                </w:tcPr>
                <w:p>
                  <w:pPr>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27.00</w:t>
                  </w:r>
                </w:p>
              </w:tc>
              <w:tc>
                <w:tcPr>
                  <w:tcW w:w="838" w:type="dxa"/>
                  <w:tcBorders>
                    <w:tl2br w:val="nil"/>
                    <w:tr2bl w:val="nil"/>
                  </w:tcBorders>
                  <w:noWrap w:val="0"/>
                  <w:vAlign w:val="center"/>
                </w:tcPr>
                <w:p>
                  <w:pPr>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w:t>
                  </w:r>
                </w:p>
              </w:tc>
              <w:tc>
                <w:tcPr>
                  <w:tcW w:w="834" w:type="dxa"/>
                  <w:tcBorders>
                    <w:tl2br w:val="nil"/>
                    <w:tr2bl w:val="nil"/>
                  </w:tcBorders>
                  <w:noWrap w:val="0"/>
                  <w:vAlign w:val="center"/>
                </w:tcPr>
                <w:p>
                  <w:pPr>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达标</w:t>
                  </w:r>
                </w:p>
              </w:tc>
            </w:tr>
          </w:tbl>
          <w:p>
            <w:pPr>
              <w:pStyle w:val="100"/>
              <w:ind w:firstLine="480"/>
              <w:rPr>
                <w:rFonts w:hint="default" w:ascii="Times New Roman" w:hAnsi="Times New Roman" w:eastAsia="仿宋_GB2312" w:cs="Times New Roman"/>
                <w:b w:val="0"/>
                <w:bCs/>
                <w:snapToGrid/>
                <w:color w:val="auto"/>
                <w:kern w:val="2"/>
                <w:sz w:val="24"/>
                <w:szCs w:val="24"/>
                <w:highlight w:val="none"/>
                <w:lang w:val="en-US" w:eastAsia="zh-CN" w:bidi="ar-SA"/>
              </w:rPr>
            </w:pPr>
            <w:r>
              <w:rPr>
                <w:rFonts w:hint="default" w:ascii="Times New Roman" w:hAnsi="Times New Roman" w:eastAsia="仿宋_GB2312" w:cs="Times New Roman"/>
                <w:b w:val="0"/>
                <w:bCs/>
                <w:snapToGrid/>
                <w:color w:val="auto"/>
                <w:kern w:val="2"/>
                <w:sz w:val="24"/>
                <w:szCs w:val="24"/>
                <w:highlight w:val="none"/>
                <w:lang w:val="en-US" w:eastAsia="zh-CN" w:bidi="ar-SA"/>
              </w:rPr>
              <w:t>根据</w:t>
            </w:r>
            <w:r>
              <w:rPr>
                <w:rFonts w:hint="eastAsia" w:ascii="Times New Roman" w:hAnsi="Times New Roman" w:eastAsia="仿宋_GB2312" w:cs="Times New Roman"/>
                <w:b w:val="0"/>
                <w:bCs/>
                <w:snapToGrid/>
                <w:color w:val="auto"/>
                <w:kern w:val="2"/>
                <w:sz w:val="24"/>
                <w:szCs w:val="24"/>
                <w:highlight w:val="none"/>
                <w:lang w:val="en-US" w:eastAsia="zh-CN" w:bidi="ar-SA"/>
              </w:rPr>
              <w:t>上表</w:t>
            </w:r>
            <w:r>
              <w:rPr>
                <w:rFonts w:hint="default" w:ascii="Times New Roman" w:hAnsi="Times New Roman" w:eastAsia="仿宋_GB2312" w:cs="Times New Roman"/>
                <w:b w:val="0"/>
                <w:bCs/>
                <w:snapToGrid/>
                <w:color w:val="auto"/>
                <w:kern w:val="2"/>
                <w:sz w:val="24"/>
                <w:szCs w:val="24"/>
                <w:highlight w:val="none"/>
                <w:lang w:val="en-US" w:eastAsia="zh-CN" w:bidi="ar-SA"/>
              </w:rPr>
              <w:t>可知，本项目所在区域TSP日均值浓度满足《环境空气质量标准》</w:t>
            </w:r>
            <w:r>
              <w:rPr>
                <w:rFonts w:hint="eastAsia" w:ascii="Times New Roman" w:hAnsi="Times New Roman" w:eastAsia="仿宋_GB2312" w:cs="Times New Roman"/>
                <w:b w:val="0"/>
                <w:bCs/>
                <w:snapToGrid/>
                <w:color w:val="auto"/>
                <w:kern w:val="2"/>
                <w:sz w:val="24"/>
                <w:szCs w:val="24"/>
                <w:highlight w:val="none"/>
                <w:lang w:val="en-US" w:eastAsia="zh-CN" w:bidi="ar-SA"/>
              </w:rPr>
              <w:t>（</w:t>
            </w:r>
            <w:r>
              <w:rPr>
                <w:rFonts w:hint="default" w:ascii="Times New Roman" w:hAnsi="Times New Roman" w:eastAsia="仿宋_GB2312" w:cs="Times New Roman"/>
                <w:b w:val="0"/>
                <w:bCs/>
                <w:snapToGrid/>
                <w:color w:val="auto"/>
                <w:kern w:val="2"/>
                <w:sz w:val="24"/>
                <w:szCs w:val="24"/>
                <w:highlight w:val="none"/>
                <w:lang w:val="en-US" w:eastAsia="zh-CN" w:bidi="ar-SA"/>
              </w:rPr>
              <w:t>GB3095-2012</w:t>
            </w:r>
            <w:r>
              <w:rPr>
                <w:rFonts w:hint="eastAsia" w:ascii="Times New Roman" w:hAnsi="Times New Roman" w:eastAsia="仿宋_GB2312" w:cs="Times New Roman"/>
                <w:b w:val="0"/>
                <w:bCs/>
                <w:snapToGrid/>
                <w:color w:val="auto"/>
                <w:kern w:val="2"/>
                <w:sz w:val="24"/>
                <w:szCs w:val="24"/>
                <w:highlight w:val="none"/>
                <w:lang w:val="en-US" w:eastAsia="zh-CN" w:bidi="ar-SA"/>
              </w:rPr>
              <w:t>）</w:t>
            </w:r>
            <w:r>
              <w:rPr>
                <w:rFonts w:hint="default" w:ascii="Times New Roman" w:hAnsi="Times New Roman" w:eastAsia="仿宋_GB2312" w:cs="Times New Roman"/>
                <w:b w:val="0"/>
                <w:bCs/>
                <w:snapToGrid/>
                <w:color w:val="auto"/>
                <w:kern w:val="2"/>
                <w:sz w:val="24"/>
                <w:szCs w:val="24"/>
                <w:highlight w:val="none"/>
                <w:lang w:val="en-US" w:eastAsia="zh-CN" w:bidi="ar-SA"/>
              </w:rPr>
              <w:t>中二级标准要求。</w:t>
            </w:r>
          </w:p>
          <w:p>
            <w:pPr>
              <w:keepNext w:val="0"/>
              <w:keepLines w:val="0"/>
              <w:pageBreakBefore w:val="0"/>
              <w:kinsoku/>
              <w:wordWrap/>
              <w:overflowPunct/>
              <w:topLinePunct w:val="0"/>
              <w:bidi w:val="0"/>
              <w:adjustRightInd/>
              <w:snapToGrid/>
              <w:spacing w:line="360" w:lineRule="auto"/>
              <w:rPr>
                <w:rFonts w:hint="default" w:ascii="Times New Roman" w:hAnsi="Times New Roman" w:eastAsia="仿宋_GB2312" w:cs="Times New Roman"/>
                <w:b/>
                <w:bCs/>
                <w:color w:val="auto"/>
                <w:sz w:val="24"/>
                <w:szCs w:val="24"/>
                <w:highlight w:val="none"/>
              </w:rPr>
            </w:pPr>
            <w:r>
              <w:rPr>
                <w:rFonts w:hint="eastAsia" w:eastAsia="仿宋_GB2312" w:cs="Times New Roman"/>
                <w:b/>
                <w:bCs/>
                <w:color w:val="auto"/>
                <w:sz w:val="24"/>
                <w:szCs w:val="24"/>
                <w:highlight w:val="none"/>
                <w:lang w:val="en-US" w:eastAsia="zh-CN"/>
              </w:rPr>
              <w:t>3</w:t>
            </w:r>
            <w:r>
              <w:rPr>
                <w:rFonts w:hint="default" w:ascii="Times New Roman" w:hAnsi="Times New Roman" w:eastAsia="仿宋_GB2312" w:cs="Times New Roman"/>
                <w:b/>
                <w:bCs/>
                <w:color w:val="auto"/>
                <w:sz w:val="24"/>
                <w:szCs w:val="24"/>
                <w:highlight w:val="none"/>
                <w:lang w:eastAsia="zh-CN"/>
              </w:rPr>
              <w:t>、</w:t>
            </w:r>
            <w:r>
              <w:rPr>
                <w:rFonts w:hint="default" w:ascii="Times New Roman" w:hAnsi="Times New Roman" w:eastAsia="仿宋_GB2312" w:cs="Times New Roman"/>
                <w:b/>
                <w:bCs/>
                <w:color w:val="auto"/>
                <w:sz w:val="24"/>
                <w:szCs w:val="24"/>
                <w:highlight w:val="none"/>
              </w:rPr>
              <w:t>地表水环境质量状况</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b w:val="0"/>
                <w:bCs/>
                <w:color w:val="auto"/>
                <w:sz w:val="24"/>
                <w:szCs w:val="24"/>
                <w:highlight w:val="none"/>
                <w:lang w:val="en-US" w:eastAsia="zh-CN"/>
              </w:rPr>
            </w:pPr>
            <w:r>
              <w:rPr>
                <w:rFonts w:hint="eastAsia" w:eastAsia="仿宋_GB2312" w:cs="Times New Roman"/>
                <w:b w:val="0"/>
                <w:bCs/>
                <w:color w:val="auto"/>
                <w:sz w:val="24"/>
                <w:szCs w:val="24"/>
                <w:highlight w:val="none"/>
                <w:lang w:val="en-US" w:eastAsia="zh-CN"/>
              </w:rPr>
              <w:t>项目所在地的主要地表水体主要为泾河，泾河为黄河支流渭河的第一大支流，本次地表水现状评价利用已有资料为主，引用《2024年宁夏生态环境质量状况》中泾河龙潭水库断面水质现状结论进行评价。根据结论可知，泾河龙潭水库断面为Ⅰ类水质，与上年相比，龙潭水库断面水质有所好转，泾河龙潭水库断面整体水质满足《地表水环境质量标准》（GB3838-2002）中的II类标准要求。</w:t>
            </w:r>
          </w:p>
          <w:p>
            <w:pPr>
              <w:keepNext w:val="0"/>
              <w:keepLines w:val="0"/>
              <w:pageBreakBefore w:val="0"/>
              <w:kinsoku/>
              <w:wordWrap/>
              <w:overflowPunct/>
              <w:topLinePunct w:val="0"/>
              <w:bidi w:val="0"/>
              <w:adjustRightInd/>
              <w:snapToGrid/>
              <w:spacing w:line="360" w:lineRule="auto"/>
              <w:rPr>
                <w:rFonts w:hint="default" w:ascii="Times New Roman" w:hAnsi="Times New Roman" w:eastAsia="仿宋_GB2312" w:cs="Times New Roman"/>
                <w:b/>
                <w:color w:val="auto"/>
                <w:sz w:val="24"/>
                <w:szCs w:val="24"/>
                <w:highlight w:val="none"/>
              </w:rPr>
            </w:pPr>
            <w:r>
              <w:rPr>
                <w:rFonts w:hint="eastAsia" w:eastAsia="仿宋_GB2312" w:cs="Times New Roman"/>
                <w:b/>
                <w:color w:val="auto"/>
                <w:sz w:val="24"/>
                <w:szCs w:val="24"/>
                <w:highlight w:val="none"/>
                <w:lang w:val="en-US" w:eastAsia="zh-CN"/>
              </w:rPr>
              <w:t>4</w:t>
            </w:r>
            <w:r>
              <w:rPr>
                <w:rFonts w:hint="default" w:ascii="Times New Roman" w:hAnsi="Times New Roman" w:eastAsia="仿宋_GB2312" w:cs="Times New Roman"/>
                <w:b/>
                <w:color w:val="auto"/>
                <w:sz w:val="24"/>
                <w:szCs w:val="24"/>
                <w:highlight w:val="none"/>
                <w:lang w:eastAsia="zh-CN"/>
              </w:rPr>
              <w:t>、</w:t>
            </w:r>
            <w:r>
              <w:rPr>
                <w:rFonts w:hint="default" w:ascii="Times New Roman" w:hAnsi="Times New Roman" w:eastAsia="仿宋_GB2312" w:cs="Times New Roman"/>
                <w:b/>
                <w:color w:val="auto"/>
                <w:sz w:val="24"/>
                <w:szCs w:val="24"/>
                <w:highlight w:val="none"/>
              </w:rPr>
              <w:t>声环境</w:t>
            </w:r>
            <w:r>
              <w:rPr>
                <w:rFonts w:hint="default" w:ascii="Times New Roman" w:hAnsi="Times New Roman" w:eastAsia="仿宋_GB2312" w:cs="Times New Roman"/>
                <w:b/>
                <w:bCs/>
                <w:color w:val="auto"/>
                <w:sz w:val="24"/>
                <w:szCs w:val="24"/>
                <w:highlight w:val="none"/>
              </w:rPr>
              <w:t>质量状况</w:t>
            </w:r>
          </w:p>
          <w:p>
            <w:pPr>
              <w:adjustRightInd w:val="0"/>
              <w:snapToGrid w:val="0"/>
              <w:spacing w:line="360" w:lineRule="auto"/>
              <w:ind w:firstLine="480" w:firstLineChars="200"/>
              <w:rPr>
                <w:rFonts w:hint="eastAsia"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本项目位于</w:t>
            </w:r>
            <w:r>
              <w:rPr>
                <w:rFonts w:hint="eastAsia" w:ascii="Times New Roman" w:hAnsi="Times New Roman" w:eastAsia="仿宋_GB2312" w:cs="Times New Roman"/>
                <w:color w:val="auto"/>
                <w:sz w:val="24"/>
                <w:szCs w:val="24"/>
                <w:highlight w:val="none"/>
                <w:lang w:val="en-US" w:eastAsia="zh-CN"/>
              </w:rPr>
              <w:t>宁夏回族自治区泾源</w:t>
            </w:r>
            <w:r>
              <w:rPr>
                <w:rFonts w:hint="eastAsia" w:eastAsia="仿宋_GB2312" w:cs="Times New Roman"/>
                <w:color w:val="auto"/>
                <w:sz w:val="24"/>
                <w:szCs w:val="24"/>
                <w:highlight w:val="none"/>
                <w:lang w:val="en-US" w:eastAsia="zh-CN"/>
              </w:rPr>
              <w:t>县</w:t>
            </w:r>
            <w:r>
              <w:rPr>
                <w:rFonts w:hint="default" w:ascii="Times New Roman" w:hAnsi="Times New Roman" w:eastAsia="仿宋_GB2312" w:cs="Times New Roman"/>
                <w:color w:val="auto"/>
                <w:sz w:val="24"/>
                <w:szCs w:val="24"/>
                <w:highlight w:val="none"/>
                <w:lang w:val="en-US" w:eastAsia="zh-CN"/>
              </w:rPr>
              <w:t>，厂界外周边50m范围内声环境保护目标</w:t>
            </w:r>
            <w:r>
              <w:rPr>
                <w:rFonts w:hint="eastAsia" w:eastAsia="仿宋_GB2312" w:cs="Times New Roman"/>
                <w:color w:val="auto"/>
                <w:sz w:val="24"/>
                <w:szCs w:val="24"/>
                <w:highlight w:val="none"/>
                <w:lang w:val="en-US" w:eastAsia="zh-CN"/>
              </w:rPr>
              <w:t>主要为羊槽村。</w:t>
            </w:r>
          </w:p>
          <w:p>
            <w:pPr>
              <w:adjustRightInd w:val="0"/>
              <w:snapToGrid w:val="0"/>
              <w:ind w:firstLine="420" w:firstLineChars="200"/>
              <w:jc w:val="both"/>
              <w:rPr>
                <w:rFonts w:hint="eastAsia" w:ascii="Times New Roman" w:hAnsi="Times New Roman" w:eastAsia="宋体" w:cs="Times New Roman"/>
                <w:b w:val="0"/>
                <w:bCs/>
                <w:snapToGrid/>
                <w:color w:val="auto"/>
                <w:kern w:val="2"/>
                <w:sz w:val="21"/>
                <w:szCs w:val="21"/>
                <w:lang w:val="en-US" w:eastAsia="zh-CN" w:bidi="ar-SA"/>
              </w:rPr>
            </w:pPr>
          </w:p>
          <w:p>
            <w:pPr>
              <w:adjustRightInd w:val="0"/>
              <w:snapToGrid w:val="0"/>
              <w:ind w:firstLine="420" w:firstLineChars="200"/>
              <w:jc w:val="both"/>
              <w:rPr>
                <w:rFonts w:hint="eastAsia" w:ascii="Times New Roman" w:hAnsi="Times New Roman" w:eastAsia="宋体" w:cs="Times New Roman"/>
                <w:b w:val="0"/>
                <w:bCs/>
                <w:snapToGrid/>
                <w:color w:val="auto"/>
                <w:kern w:val="2"/>
                <w:sz w:val="21"/>
                <w:szCs w:val="21"/>
                <w:lang w:val="en-US" w:eastAsia="zh-CN" w:bidi="ar-SA"/>
              </w:rPr>
            </w:pPr>
          </w:p>
          <w:p>
            <w:pPr>
              <w:adjustRightInd w:val="0"/>
              <w:snapToGrid w:val="0"/>
              <w:ind w:firstLine="420" w:firstLineChars="200"/>
              <w:jc w:val="both"/>
              <w:rPr>
                <w:rFonts w:hint="eastAsia" w:ascii="Times New Roman" w:hAnsi="Times New Roman" w:eastAsia="宋体" w:cs="Times New Roman"/>
                <w:b w:val="0"/>
                <w:bCs/>
                <w:snapToGrid/>
                <w:color w:val="auto"/>
                <w:kern w:val="2"/>
                <w:sz w:val="21"/>
                <w:szCs w:val="21"/>
                <w:lang w:val="en-US" w:eastAsia="zh-CN" w:bidi="ar-SA"/>
              </w:rPr>
            </w:pPr>
          </w:p>
          <w:p>
            <w:pPr>
              <w:adjustRightInd w:val="0"/>
              <w:snapToGrid w:val="0"/>
              <w:ind w:firstLine="420" w:firstLineChars="200"/>
              <w:jc w:val="both"/>
              <w:rPr>
                <w:rFonts w:hint="eastAsia" w:ascii="Times New Roman" w:hAnsi="Times New Roman" w:eastAsia="宋体" w:cs="Times New Roman"/>
                <w:b w:val="0"/>
                <w:bCs/>
                <w:snapToGrid/>
                <w:color w:val="auto"/>
                <w:kern w:val="2"/>
                <w:sz w:val="21"/>
                <w:szCs w:val="21"/>
                <w:lang w:val="en-US" w:eastAsia="zh-CN" w:bidi="ar-SA"/>
              </w:rPr>
            </w:pPr>
          </w:p>
          <w:p>
            <w:pPr>
              <w:adjustRightInd w:val="0"/>
              <w:snapToGrid w:val="0"/>
              <w:ind w:firstLine="420" w:firstLineChars="200"/>
              <w:jc w:val="both"/>
              <w:rPr>
                <w:rFonts w:hint="eastAsia" w:eastAsia="宋体" w:cs="Times New Roman"/>
                <w:b w:val="0"/>
                <w:bCs/>
                <w:color w:val="auto"/>
                <w:sz w:val="24"/>
                <w:lang w:val="en-US" w:eastAsia="zh-CN"/>
              </w:rPr>
            </w:pPr>
            <w:r>
              <w:rPr>
                <w:rFonts w:hint="eastAsia" w:ascii="Times New Roman" w:hAnsi="Times New Roman" w:eastAsia="宋体" w:cs="Times New Roman"/>
                <w:b w:val="0"/>
                <w:bCs/>
                <w:snapToGrid/>
                <w:color w:val="auto"/>
                <w:kern w:val="2"/>
                <w:sz w:val="21"/>
                <w:szCs w:val="21"/>
                <w:lang w:val="en-US" w:eastAsia="zh-CN" w:bidi="ar-SA"/>
              </w:rPr>
              <w:t>表</w:t>
            </w:r>
            <w:r>
              <w:rPr>
                <w:rFonts w:hint="eastAsia" w:cs="Times New Roman"/>
                <w:b w:val="0"/>
                <w:bCs/>
                <w:snapToGrid/>
                <w:color w:val="auto"/>
                <w:kern w:val="2"/>
                <w:sz w:val="21"/>
                <w:szCs w:val="21"/>
                <w:lang w:val="en-US" w:eastAsia="zh-CN" w:bidi="ar-SA"/>
              </w:rPr>
              <w:t>12</w:t>
            </w:r>
            <w:r>
              <w:rPr>
                <w:rFonts w:hint="eastAsia" w:ascii="Times New Roman" w:hAnsi="Times New Roman" w:eastAsia="宋体" w:cs="Times New Roman"/>
                <w:b w:val="0"/>
                <w:bCs/>
                <w:snapToGrid/>
                <w:color w:val="auto"/>
                <w:kern w:val="2"/>
                <w:sz w:val="21"/>
                <w:szCs w:val="21"/>
                <w:lang w:val="en-US" w:eastAsia="zh-CN" w:bidi="ar-SA"/>
              </w:rPr>
              <w:t xml:space="preserve"> </w:t>
            </w:r>
            <w:r>
              <w:rPr>
                <w:rFonts w:hint="eastAsia" w:eastAsia="宋体" w:cs="Times New Roman"/>
                <w:b w:val="0"/>
                <w:bCs/>
                <w:color w:val="auto"/>
                <w:sz w:val="24"/>
                <w:lang w:val="en-US" w:eastAsia="zh-CN"/>
              </w:rPr>
              <w:t xml:space="preserve">                       </w:t>
            </w:r>
            <w:r>
              <w:rPr>
                <w:rFonts w:hint="eastAsia" w:eastAsia="宋体" w:cs="Times New Roman"/>
                <w:b/>
                <w:bCs w:val="0"/>
                <w:color w:val="auto"/>
                <w:sz w:val="24"/>
                <w:lang w:val="en-US" w:eastAsia="zh-CN"/>
              </w:rPr>
              <w:t>噪声监测内容一览表</w:t>
            </w:r>
          </w:p>
          <w:tbl>
            <w:tblPr>
              <w:tblStyle w:val="35"/>
              <w:tblW w:w="833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40"/>
              <w:gridCol w:w="1798"/>
              <w:gridCol w:w="1266"/>
              <w:gridCol w:w="1880"/>
              <w:gridCol w:w="19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440" w:type="dxa"/>
                  <w:tcBorders>
                    <w:tl2br w:val="nil"/>
                    <w:tr2bl w:val="nil"/>
                  </w:tcBorders>
                  <w:noWrap w:val="0"/>
                  <w:vAlign w:val="center"/>
                </w:tcPr>
                <w:p>
                  <w:pPr>
                    <w:spacing w:line="320" w:lineRule="exact"/>
                    <w:ind w:firstLine="0" w:firstLineChars="0"/>
                    <w:jc w:val="center"/>
                    <w:rPr>
                      <w:b/>
                      <w:color w:val="auto"/>
                      <w:sz w:val="21"/>
                      <w:szCs w:val="21"/>
                      <w:highlight w:val="none"/>
                    </w:rPr>
                  </w:pPr>
                  <w:r>
                    <w:rPr>
                      <w:b/>
                      <w:color w:val="auto"/>
                      <w:sz w:val="21"/>
                      <w:szCs w:val="21"/>
                      <w:highlight w:val="none"/>
                    </w:rPr>
                    <w:t>监测类别</w:t>
                  </w:r>
                </w:p>
              </w:tc>
              <w:tc>
                <w:tcPr>
                  <w:tcW w:w="1798" w:type="dxa"/>
                  <w:tcBorders>
                    <w:tl2br w:val="nil"/>
                    <w:tr2bl w:val="nil"/>
                  </w:tcBorders>
                  <w:noWrap w:val="0"/>
                  <w:vAlign w:val="center"/>
                </w:tcPr>
                <w:p>
                  <w:pPr>
                    <w:spacing w:line="320" w:lineRule="exact"/>
                    <w:ind w:firstLine="0" w:firstLineChars="0"/>
                    <w:jc w:val="center"/>
                    <w:rPr>
                      <w:b/>
                      <w:color w:val="auto"/>
                      <w:sz w:val="21"/>
                      <w:szCs w:val="21"/>
                      <w:highlight w:val="none"/>
                    </w:rPr>
                  </w:pPr>
                  <w:r>
                    <w:rPr>
                      <w:b/>
                      <w:color w:val="auto"/>
                      <w:sz w:val="21"/>
                      <w:szCs w:val="21"/>
                      <w:highlight w:val="none"/>
                    </w:rPr>
                    <w:t>监测点位</w:t>
                  </w:r>
                </w:p>
              </w:tc>
              <w:tc>
                <w:tcPr>
                  <w:tcW w:w="1266" w:type="dxa"/>
                  <w:tcBorders>
                    <w:tl2br w:val="nil"/>
                    <w:tr2bl w:val="nil"/>
                  </w:tcBorders>
                  <w:shd w:val="clear" w:color="auto" w:fill="auto"/>
                  <w:noWrap w:val="0"/>
                  <w:vAlign w:val="center"/>
                </w:tcPr>
                <w:p>
                  <w:pPr>
                    <w:spacing w:line="320" w:lineRule="exact"/>
                    <w:ind w:firstLine="0" w:firstLineChars="0"/>
                    <w:jc w:val="center"/>
                    <w:rPr>
                      <w:rFonts w:hint="default" w:ascii="Times New Roman" w:hAnsi="Times New Roman" w:eastAsia="宋体" w:cs="Times New Roman"/>
                      <w:b/>
                      <w:color w:val="auto"/>
                      <w:kern w:val="2"/>
                      <w:sz w:val="21"/>
                      <w:szCs w:val="21"/>
                      <w:lang w:val="en-US" w:eastAsia="zh-CN" w:bidi="ar-SA"/>
                    </w:rPr>
                  </w:pPr>
                  <w:r>
                    <w:rPr>
                      <w:rFonts w:hint="eastAsia"/>
                      <w:b/>
                      <w:color w:val="auto"/>
                      <w:kern w:val="2"/>
                      <w:sz w:val="21"/>
                      <w:szCs w:val="21"/>
                      <w:lang w:val="en-US" w:eastAsia="zh-CN" w:bidi="ar-SA"/>
                    </w:rPr>
                    <w:t>方位/距离</w:t>
                  </w:r>
                </w:p>
              </w:tc>
              <w:tc>
                <w:tcPr>
                  <w:tcW w:w="1880" w:type="dxa"/>
                  <w:tcBorders>
                    <w:tl2br w:val="nil"/>
                    <w:tr2bl w:val="nil"/>
                  </w:tcBorders>
                  <w:noWrap w:val="0"/>
                  <w:vAlign w:val="center"/>
                </w:tcPr>
                <w:p>
                  <w:pPr>
                    <w:spacing w:line="320" w:lineRule="exact"/>
                    <w:ind w:firstLine="0" w:firstLineChars="0"/>
                    <w:jc w:val="center"/>
                    <w:rPr>
                      <w:b/>
                      <w:color w:val="auto"/>
                      <w:sz w:val="21"/>
                      <w:szCs w:val="21"/>
                      <w:highlight w:val="none"/>
                    </w:rPr>
                  </w:pPr>
                  <w:r>
                    <w:rPr>
                      <w:b/>
                      <w:color w:val="auto"/>
                      <w:sz w:val="21"/>
                      <w:szCs w:val="21"/>
                      <w:highlight w:val="none"/>
                    </w:rPr>
                    <w:t>监测项目</w:t>
                  </w:r>
                </w:p>
              </w:tc>
              <w:tc>
                <w:tcPr>
                  <w:tcW w:w="1953" w:type="dxa"/>
                  <w:tcBorders>
                    <w:tl2br w:val="nil"/>
                    <w:tr2bl w:val="nil"/>
                  </w:tcBorders>
                  <w:noWrap w:val="0"/>
                  <w:vAlign w:val="center"/>
                </w:tcPr>
                <w:p>
                  <w:pPr>
                    <w:spacing w:line="320" w:lineRule="exact"/>
                    <w:ind w:firstLine="0" w:firstLineChars="0"/>
                    <w:jc w:val="center"/>
                    <w:rPr>
                      <w:b/>
                      <w:color w:val="auto"/>
                      <w:sz w:val="21"/>
                      <w:szCs w:val="21"/>
                      <w:highlight w:val="none"/>
                    </w:rPr>
                  </w:pPr>
                  <w:r>
                    <w:rPr>
                      <w:b/>
                      <w:color w:val="auto"/>
                      <w:sz w:val="21"/>
                      <w:szCs w:val="21"/>
                      <w:highlight w:val="none"/>
                    </w:rPr>
                    <w:t>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440" w:type="dxa"/>
                  <w:vMerge w:val="restart"/>
                  <w:tcBorders>
                    <w:tl2br w:val="nil"/>
                    <w:tr2bl w:val="nil"/>
                  </w:tcBorders>
                  <w:noWrap w:val="0"/>
                  <w:vAlign w:val="center"/>
                </w:tcPr>
                <w:p>
                  <w:pPr>
                    <w:spacing w:line="320" w:lineRule="exact"/>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val="en-US" w:eastAsia="zh-CN"/>
                    </w:rPr>
                    <w:t>声</w:t>
                  </w:r>
                  <w:r>
                    <w:rPr>
                      <w:rFonts w:hint="eastAsia"/>
                      <w:color w:val="auto"/>
                      <w:sz w:val="21"/>
                      <w:szCs w:val="21"/>
                      <w:highlight w:val="none"/>
                      <w:lang w:eastAsia="zh-CN"/>
                    </w:rPr>
                    <w:t>环境敏感点</w:t>
                  </w:r>
                </w:p>
              </w:tc>
              <w:tc>
                <w:tcPr>
                  <w:tcW w:w="1798" w:type="dxa"/>
                  <w:tcBorders>
                    <w:tl2br w:val="nil"/>
                    <w:tr2bl w:val="nil"/>
                  </w:tcBorders>
                  <w:shd w:val="clear" w:color="auto" w:fill="auto"/>
                  <w:noWrap w:val="0"/>
                  <w:vAlign w:val="center"/>
                </w:tcPr>
                <w:p>
                  <w:pPr>
                    <w:snapToGrid w:val="0"/>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eastAsia="zh-CN"/>
                    </w:rPr>
                    <w:t>△</w:t>
                  </w:r>
                  <w:r>
                    <w:rPr>
                      <w:rFonts w:hint="eastAsia" w:ascii="Times New Roman" w:hAnsi="Times New Roman" w:eastAsia="宋体" w:cs="Times New Roman"/>
                      <w:b w:val="0"/>
                      <w:bCs w:val="0"/>
                      <w:color w:val="auto"/>
                      <w:sz w:val="21"/>
                      <w:szCs w:val="21"/>
                      <w:highlight w:val="none"/>
                      <w:vertAlign w:val="baseline"/>
                      <w:lang w:val="en-US" w:eastAsia="zh-CN"/>
                    </w:rPr>
                    <w:t>1#</w:t>
                  </w:r>
                </w:p>
              </w:tc>
              <w:tc>
                <w:tcPr>
                  <w:tcW w:w="1266" w:type="dxa"/>
                  <w:tcBorders>
                    <w:tl2br w:val="nil"/>
                    <w:tr2bl w:val="nil"/>
                  </w:tcBorders>
                  <w:shd w:val="clear" w:color="auto" w:fill="auto"/>
                  <w:noWrap w:val="0"/>
                  <w:vAlign w:val="center"/>
                </w:tcPr>
                <w:p>
                  <w:pPr>
                    <w:spacing w:line="320" w:lineRule="exact"/>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N/35m</w:t>
                  </w:r>
                </w:p>
              </w:tc>
              <w:tc>
                <w:tcPr>
                  <w:tcW w:w="1880" w:type="dxa"/>
                  <w:vMerge w:val="restart"/>
                  <w:tcBorders>
                    <w:tl2br w:val="nil"/>
                    <w:tr2bl w:val="nil"/>
                  </w:tcBorders>
                  <w:noWrap w:val="0"/>
                  <w:vAlign w:val="center"/>
                </w:tcPr>
                <w:p>
                  <w:pPr>
                    <w:spacing w:line="320" w:lineRule="exact"/>
                    <w:ind w:firstLine="0" w:firstLineChars="0"/>
                    <w:jc w:val="center"/>
                    <w:rPr>
                      <w:color w:val="auto"/>
                      <w:sz w:val="21"/>
                      <w:szCs w:val="21"/>
                      <w:highlight w:val="none"/>
                    </w:rPr>
                  </w:pPr>
                  <w:r>
                    <w:rPr>
                      <w:color w:val="auto"/>
                      <w:sz w:val="21"/>
                      <w:szCs w:val="21"/>
                      <w:highlight w:val="none"/>
                    </w:rPr>
                    <w:t>昼间等效</w:t>
                  </w:r>
                  <w:r>
                    <w:rPr>
                      <w:rFonts w:hint="eastAsia"/>
                      <w:color w:val="auto"/>
                      <w:sz w:val="21"/>
                      <w:szCs w:val="21"/>
                      <w:highlight w:val="none"/>
                    </w:rPr>
                    <w:t>连续A</w:t>
                  </w:r>
                  <w:r>
                    <w:rPr>
                      <w:color w:val="auto"/>
                      <w:sz w:val="21"/>
                      <w:szCs w:val="21"/>
                      <w:highlight w:val="none"/>
                    </w:rPr>
                    <w:t>声级</w:t>
                  </w:r>
                </w:p>
              </w:tc>
              <w:tc>
                <w:tcPr>
                  <w:tcW w:w="1953" w:type="dxa"/>
                  <w:vMerge w:val="restart"/>
                  <w:tcBorders>
                    <w:tl2br w:val="nil"/>
                    <w:tr2bl w:val="nil"/>
                  </w:tcBorders>
                  <w:noWrap w:val="0"/>
                  <w:vAlign w:val="center"/>
                </w:tcPr>
                <w:p>
                  <w:pPr>
                    <w:spacing w:line="320" w:lineRule="exact"/>
                    <w:ind w:firstLine="0" w:firstLineChars="0"/>
                    <w:jc w:val="center"/>
                    <w:rPr>
                      <w:color w:val="auto"/>
                      <w:sz w:val="21"/>
                      <w:szCs w:val="21"/>
                      <w:highlight w:val="none"/>
                    </w:rPr>
                  </w:pPr>
                  <w:r>
                    <w:rPr>
                      <w:color w:val="auto"/>
                      <w:sz w:val="21"/>
                      <w:szCs w:val="21"/>
                      <w:highlight w:val="none"/>
                    </w:rPr>
                    <w:t>昼</w:t>
                  </w:r>
                  <w:r>
                    <w:rPr>
                      <w:rFonts w:hint="eastAsia"/>
                      <w:color w:val="auto"/>
                      <w:sz w:val="21"/>
                      <w:szCs w:val="21"/>
                      <w:highlight w:val="none"/>
                    </w:rPr>
                    <w:t>间</w:t>
                  </w:r>
                  <w:r>
                    <w:rPr>
                      <w:color w:val="auto"/>
                      <w:sz w:val="21"/>
                      <w:szCs w:val="21"/>
                      <w:highlight w:val="none"/>
                    </w:rPr>
                    <w:t>1次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440" w:type="dxa"/>
                  <w:vMerge w:val="continue"/>
                  <w:tcBorders>
                    <w:tl2br w:val="nil"/>
                    <w:tr2bl w:val="nil"/>
                  </w:tcBorders>
                  <w:noWrap w:val="0"/>
                  <w:vAlign w:val="center"/>
                </w:tcPr>
                <w:p>
                  <w:pPr>
                    <w:spacing w:line="320" w:lineRule="exact"/>
                    <w:ind w:firstLine="0" w:firstLineChars="0"/>
                    <w:jc w:val="center"/>
                    <w:rPr>
                      <w:rFonts w:hint="eastAsia"/>
                      <w:color w:val="auto"/>
                      <w:sz w:val="21"/>
                      <w:szCs w:val="21"/>
                      <w:highlight w:val="none"/>
                      <w:lang w:eastAsia="zh-CN"/>
                    </w:rPr>
                  </w:pPr>
                </w:p>
              </w:tc>
              <w:tc>
                <w:tcPr>
                  <w:tcW w:w="1798" w:type="dxa"/>
                  <w:tcBorders>
                    <w:tl2br w:val="nil"/>
                    <w:tr2bl w:val="nil"/>
                  </w:tcBorders>
                  <w:shd w:val="clear" w:color="auto" w:fill="auto"/>
                  <w:noWrap w:val="0"/>
                  <w:vAlign w:val="center"/>
                </w:tcPr>
                <w:p>
                  <w:pPr>
                    <w:snapToGrid w:val="0"/>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eastAsia="zh-CN"/>
                    </w:rPr>
                    <w:t>△</w:t>
                  </w:r>
                  <w:r>
                    <w:rPr>
                      <w:rFonts w:hint="eastAsia" w:ascii="Times New Roman" w:hAnsi="Times New Roman" w:eastAsia="宋体" w:cs="Times New Roman"/>
                      <w:b w:val="0"/>
                      <w:bCs w:val="0"/>
                      <w:color w:val="auto"/>
                      <w:sz w:val="21"/>
                      <w:szCs w:val="21"/>
                      <w:highlight w:val="none"/>
                      <w:vertAlign w:val="baseline"/>
                      <w:lang w:val="en-US" w:eastAsia="zh-CN"/>
                    </w:rPr>
                    <w:t>2#</w:t>
                  </w:r>
                </w:p>
              </w:tc>
              <w:tc>
                <w:tcPr>
                  <w:tcW w:w="1266" w:type="dxa"/>
                  <w:tcBorders>
                    <w:tl2br w:val="nil"/>
                    <w:tr2bl w:val="nil"/>
                  </w:tcBorders>
                  <w:shd w:val="clear" w:color="auto" w:fill="auto"/>
                  <w:noWrap w:val="0"/>
                  <w:vAlign w:val="center"/>
                </w:tcPr>
                <w:p>
                  <w:pPr>
                    <w:spacing w:line="320" w:lineRule="exact"/>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N/20m</w:t>
                  </w:r>
                </w:p>
              </w:tc>
              <w:tc>
                <w:tcPr>
                  <w:tcW w:w="1880" w:type="dxa"/>
                  <w:vMerge w:val="continue"/>
                  <w:tcBorders>
                    <w:tl2br w:val="nil"/>
                    <w:tr2bl w:val="nil"/>
                  </w:tcBorders>
                  <w:noWrap w:val="0"/>
                  <w:vAlign w:val="center"/>
                </w:tcPr>
                <w:p>
                  <w:pPr>
                    <w:spacing w:line="320" w:lineRule="exact"/>
                    <w:ind w:firstLine="0" w:firstLineChars="0"/>
                    <w:jc w:val="center"/>
                    <w:rPr>
                      <w:color w:val="auto"/>
                      <w:sz w:val="21"/>
                      <w:szCs w:val="21"/>
                      <w:highlight w:val="none"/>
                    </w:rPr>
                  </w:pPr>
                </w:p>
              </w:tc>
              <w:tc>
                <w:tcPr>
                  <w:tcW w:w="1953" w:type="dxa"/>
                  <w:vMerge w:val="continue"/>
                  <w:tcBorders>
                    <w:tl2br w:val="nil"/>
                    <w:tr2bl w:val="nil"/>
                  </w:tcBorders>
                  <w:noWrap w:val="0"/>
                  <w:vAlign w:val="center"/>
                </w:tcPr>
                <w:p>
                  <w:pPr>
                    <w:spacing w:line="320" w:lineRule="exact"/>
                    <w:ind w:firstLine="0" w:firstLineChars="0"/>
                    <w:jc w:val="center"/>
                    <w:rPr>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440" w:type="dxa"/>
                  <w:vMerge w:val="continue"/>
                  <w:tcBorders>
                    <w:tl2br w:val="nil"/>
                    <w:tr2bl w:val="nil"/>
                  </w:tcBorders>
                  <w:noWrap w:val="0"/>
                  <w:vAlign w:val="center"/>
                </w:tcPr>
                <w:p>
                  <w:pPr>
                    <w:spacing w:line="320" w:lineRule="exact"/>
                    <w:ind w:firstLine="0" w:firstLineChars="0"/>
                    <w:jc w:val="center"/>
                    <w:rPr>
                      <w:rFonts w:hint="eastAsia"/>
                      <w:color w:val="auto"/>
                      <w:sz w:val="21"/>
                      <w:szCs w:val="21"/>
                      <w:highlight w:val="none"/>
                      <w:lang w:eastAsia="zh-CN"/>
                    </w:rPr>
                  </w:pPr>
                </w:p>
              </w:tc>
              <w:tc>
                <w:tcPr>
                  <w:tcW w:w="1798" w:type="dxa"/>
                  <w:tcBorders>
                    <w:tl2br w:val="nil"/>
                    <w:tr2bl w:val="nil"/>
                  </w:tcBorders>
                  <w:shd w:val="clear" w:color="auto" w:fill="auto"/>
                  <w:noWrap w:val="0"/>
                  <w:vAlign w:val="center"/>
                </w:tcPr>
                <w:p>
                  <w:pPr>
                    <w:snapToGrid w:val="0"/>
                    <w:jc w:val="center"/>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eastAsia="zh-CN"/>
                    </w:rPr>
                    <w:t>△</w:t>
                  </w:r>
                  <w:r>
                    <w:rPr>
                      <w:rFonts w:hint="eastAsia" w:ascii="Times New Roman" w:hAnsi="Times New Roman" w:eastAsia="宋体" w:cs="Times New Roman"/>
                      <w:b w:val="0"/>
                      <w:bCs w:val="0"/>
                      <w:color w:val="auto"/>
                      <w:sz w:val="21"/>
                      <w:szCs w:val="21"/>
                      <w:highlight w:val="none"/>
                      <w:vertAlign w:val="baseline"/>
                      <w:lang w:val="en-US" w:eastAsia="zh-CN"/>
                    </w:rPr>
                    <w:t>3#</w:t>
                  </w:r>
                </w:p>
              </w:tc>
              <w:tc>
                <w:tcPr>
                  <w:tcW w:w="1266" w:type="dxa"/>
                  <w:tcBorders>
                    <w:tl2br w:val="nil"/>
                    <w:tr2bl w:val="nil"/>
                  </w:tcBorders>
                  <w:shd w:val="clear" w:color="auto" w:fill="auto"/>
                  <w:noWrap w:val="0"/>
                  <w:vAlign w:val="center"/>
                </w:tcPr>
                <w:p>
                  <w:pPr>
                    <w:spacing w:line="320" w:lineRule="exact"/>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N/35m</w:t>
                  </w:r>
                </w:p>
              </w:tc>
              <w:tc>
                <w:tcPr>
                  <w:tcW w:w="1880" w:type="dxa"/>
                  <w:vMerge w:val="continue"/>
                  <w:tcBorders>
                    <w:tl2br w:val="nil"/>
                    <w:tr2bl w:val="nil"/>
                  </w:tcBorders>
                  <w:noWrap w:val="0"/>
                  <w:vAlign w:val="center"/>
                </w:tcPr>
                <w:p>
                  <w:pPr>
                    <w:spacing w:line="320" w:lineRule="exact"/>
                    <w:ind w:firstLine="0" w:firstLineChars="0"/>
                    <w:jc w:val="center"/>
                    <w:rPr>
                      <w:color w:val="auto"/>
                      <w:sz w:val="21"/>
                      <w:szCs w:val="21"/>
                      <w:highlight w:val="none"/>
                    </w:rPr>
                  </w:pPr>
                </w:p>
              </w:tc>
              <w:tc>
                <w:tcPr>
                  <w:tcW w:w="1953" w:type="dxa"/>
                  <w:vMerge w:val="continue"/>
                  <w:tcBorders>
                    <w:tl2br w:val="nil"/>
                    <w:tr2bl w:val="nil"/>
                  </w:tcBorders>
                  <w:noWrap w:val="0"/>
                  <w:vAlign w:val="center"/>
                </w:tcPr>
                <w:p>
                  <w:pPr>
                    <w:spacing w:line="320" w:lineRule="exact"/>
                    <w:ind w:firstLine="0" w:firstLineChars="0"/>
                    <w:jc w:val="center"/>
                    <w:rPr>
                      <w:color w:val="auto"/>
                      <w:sz w:val="21"/>
                      <w:szCs w:val="21"/>
                      <w:highlight w:val="none"/>
                    </w:rPr>
                  </w:pPr>
                </w:p>
              </w:tc>
            </w:tr>
          </w:tbl>
          <w:p>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80" w:firstLineChars="200"/>
              <w:jc w:val="left"/>
              <w:textAlignment w:val="auto"/>
              <w:outlineLvl w:val="9"/>
              <w:rPr>
                <w:rFonts w:hint="eastAsia" w:ascii="Times New Roman" w:hAnsi="Times New Roman" w:eastAsia="仿宋_GB2312" w:cs="Times New Roman"/>
                <w:color w:val="auto"/>
                <w:kern w:val="16"/>
                <w:sz w:val="24"/>
                <w:szCs w:val="22"/>
                <w:highlight w:val="none"/>
                <w:lang w:val="en-US" w:eastAsia="zh-CN" w:bidi="ar-SA"/>
              </w:rPr>
            </w:pPr>
            <w:r>
              <w:rPr>
                <w:rFonts w:hint="default" w:ascii="Times New Roman" w:hAnsi="Times New Roman" w:eastAsia="仿宋_GB2312" w:cs="Times New Roman"/>
                <w:color w:val="auto"/>
                <w:kern w:val="16"/>
                <w:sz w:val="24"/>
                <w:szCs w:val="22"/>
                <w:highlight w:val="none"/>
                <w:lang w:val="en-US" w:eastAsia="zh-CN" w:bidi="ar-SA"/>
              </w:rPr>
              <w:fldChar w:fldCharType="begin"/>
            </w:r>
            <w:r>
              <w:rPr>
                <w:rFonts w:hint="default" w:ascii="Times New Roman" w:hAnsi="Times New Roman" w:eastAsia="仿宋_GB2312" w:cs="Times New Roman"/>
                <w:color w:val="auto"/>
                <w:kern w:val="16"/>
                <w:sz w:val="24"/>
                <w:szCs w:val="22"/>
                <w:highlight w:val="none"/>
                <w:lang w:val="en-US" w:eastAsia="zh-CN" w:bidi="ar-SA"/>
              </w:rPr>
              <w:instrText xml:space="preserve"> = 1 \* GB3 \* MERGEFORMAT </w:instrText>
            </w:r>
            <w:r>
              <w:rPr>
                <w:rFonts w:hint="default" w:ascii="Times New Roman" w:hAnsi="Times New Roman" w:eastAsia="仿宋_GB2312" w:cs="Times New Roman"/>
                <w:color w:val="auto"/>
                <w:kern w:val="16"/>
                <w:sz w:val="24"/>
                <w:szCs w:val="22"/>
                <w:highlight w:val="none"/>
                <w:lang w:val="en-US" w:eastAsia="zh-CN" w:bidi="ar-SA"/>
              </w:rPr>
              <w:fldChar w:fldCharType="separate"/>
            </w:r>
            <w:r>
              <w:rPr>
                <w:rFonts w:hint="default" w:ascii="Times New Roman" w:hAnsi="Times New Roman" w:eastAsia="仿宋_GB2312" w:cs="Times New Roman"/>
                <w:color w:val="auto"/>
                <w:kern w:val="16"/>
                <w:sz w:val="24"/>
                <w:szCs w:val="22"/>
                <w:highlight w:val="none"/>
                <w:lang w:val="en-US" w:eastAsia="zh-CN" w:bidi="ar-SA"/>
              </w:rPr>
              <w:t>①</w:t>
            </w:r>
            <w:r>
              <w:rPr>
                <w:rFonts w:hint="default" w:ascii="Times New Roman" w:hAnsi="Times New Roman" w:eastAsia="仿宋_GB2312" w:cs="Times New Roman"/>
                <w:color w:val="auto"/>
                <w:kern w:val="16"/>
                <w:sz w:val="24"/>
                <w:szCs w:val="22"/>
                <w:highlight w:val="none"/>
                <w:lang w:val="en-US" w:eastAsia="zh-CN" w:bidi="ar-SA"/>
              </w:rPr>
              <w:fldChar w:fldCharType="end"/>
            </w:r>
            <w:r>
              <w:rPr>
                <w:rFonts w:hint="eastAsia" w:ascii="Times New Roman" w:hAnsi="Times New Roman" w:eastAsia="仿宋_GB2312" w:cs="Times New Roman"/>
                <w:color w:val="auto"/>
                <w:kern w:val="16"/>
                <w:sz w:val="24"/>
                <w:szCs w:val="22"/>
                <w:highlight w:val="none"/>
                <w:lang w:val="en-US" w:eastAsia="zh-CN" w:bidi="ar-SA"/>
              </w:rPr>
              <w:t>监测点位：本次监测布设</w:t>
            </w:r>
            <w:r>
              <w:rPr>
                <w:rFonts w:hint="eastAsia" w:eastAsia="仿宋_GB2312" w:cs="Times New Roman"/>
                <w:color w:val="auto"/>
                <w:kern w:val="16"/>
                <w:sz w:val="24"/>
                <w:szCs w:val="22"/>
                <w:highlight w:val="none"/>
                <w:lang w:val="en-US" w:eastAsia="zh-CN" w:bidi="ar-SA"/>
              </w:rPr>
              <w:t>3</w:t>
            </w:r>
            <w:r>
              <w:rPr>
                <w:rFonts w:hint="eastAsia" w:ascii="Times New Roman" w:hAnsi="Times New Roman" w:eastAsia="仿宋_GB2312" w:cs="Times New Roman"/>
                <w:color w:val="auto"/>
                <w:kern w:val="16"/>
                <w:sz w:val="24"/>
                <w:szCs w:val="22"/>
                <w:highlight w:val="none"/>
                <w:lang w:val="en-US" w:eastAsia="zh-CN" w:bidi="ar-SA"/>
              </w:rPr>
              <w:t>个噪声监测点，监测点位见下图，噪声监测内容详见表24。</w:t>
            </w:r>
          </w:p>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outlineLvl w:val="9"/>
              <w:rPr>
                <w:color w:val="auto"/>
              </w:rPr>
            </w:pPr>
            <w:r>
              <w:rPr>
                <w:color w:val="auto"/>
              </w:rPr>
              <w:drawing>
                <wp:inline distT="0" distB="0" distL="114300" distR="114300">
                  <wp:extent cx="5018405" cy="3636010"/>
                  <wp:effectExtent l="0" t="0" r="10795" b="2540"/>
                  <wp:docPr id="1"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true"/>
                          </pic:cNvPicPr>
                        </pic:nvPicPr>
                        <pic:blipFill>
                          <a:blip r:embed="rId10"/>
                          <a:stretch>
                            <a:fillRect/>
                          </a:stretch>
                        </pic:blipFill>
                        <pic:spPr>
                          <a:xfrm>
                            <a:off x="0" y="0"/>
                            <a:ext cx="5018405" cy="36360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outlineLvl w:val="9"/>
              <w:rPr>
                <w:rFonts w:hint="default" w:ascii="Times New Roman" w:hAnsi="Times New Roman" w:eastAsia="方正仿宋_GB2312" w:cs="Times New Roman"/>
                <w:b/>
                <w:bCs/>
                <w:color w:val="auto"/>
                <w:sz w:val="24"/>
                <w:highlight w:val="none"/>
              </w:rPr>
            </w:pPr>
            <w:r>
              <w:rPr>
                <w:rFonts w:hint="default" w:ascii="Times New Roman" w:hAnsi="Times New Roman" w:eastAsia="方正仿宋_GB2312" w:cs="Times New Roman"/>
                <w:b/>
                <w:bCs/>
                <w:color w:val="auto"/>
                <w:sz w:val="24"/>
                <w:highlight w:val="none"/>
                <w:lang w:eastAsia="zh-CN"/>
              </w:rPr>
              <w:t>图</w:t>
            </w:r>
            <w:r>
              <w:rPr>
                <w:rFonts w:hint="eastAsia" w:eastAsia="方正仿宋_GB2312" w:cs="Times New Roman"/>
                <w:b/>
                <w:bCs/>
                <w:color w:val="auto"/>
                <w:sz w:val="24"/>
                <w:highlight w:val="none"/>
                <w:lang w:val="en-US" w:eastAsia="zh-CN"/>
              </w:rPr>
              <w:t>4</w:t>
            </w:r>
            <w:r>
              <w:rPr>
                <w:rFonts w:hint="eastAsia" w:ascii="Times New Roman" w:hAnsi="Times New Roman" w:eastAsia="方正仿宋_GB2312" w:cs="Times New Roman"/>
                <w:b/>
                <w:bCs/>
                <w:color w:val="auto"/>
                <w:sz w:val="24"/>
                <w:highlight w:val="none"/>
                <w:lang w:val="en-US" w:eastAsia="zh-CN"/>
              </w:rPr>
              <w:t xml:space="preserve">       </w:t>
            </w:r>
            <w:r>
              <w:rPr>
                <w:rFonts w:hint="eastAsia" w:ascii="Times New Roman" w:hAnsi="Times New Roman" w:eastAsia="方正仿宋_GB2312" w:cs="Times New Roman"/>
                <w:b/>
                <w:bCs/>
                <w:color w:val="auto"/>
                <w:sz w:val="24"/>
                <w:highlight w:val="none"/>
                <w:lang w:eastAsia="zh-CN"/>
              </w:rPr>
              <w:t>监测点位</w:t>
            </w:r>
            <w:r>
              <w:rPr>
                <w:rFonts w:hint="default" w:ascii="Times New Roman" w:hAnsi="Times New Roman" w:eastAsia="方正仿宋_GB2312" w:cs="Times New Roman"/>
                <w:b/>
                <w:bCs/>
                <w:color w:val="auto"/>
                <w:sz w:val="24"/>
                <w:highlight w:val="none"/>
              </w:rPr>
              <w:t>图</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Times New Roman" w:hAnsi="Times New Roman" w:eastAsia="仿宋_GB2312" w:cs="Times New Roman"/>
                <w:color w:val="auto"/>
                <w:kern w:val="16"/>
                <w:sz w:val="24"/>
                <w:szCs w:val="22"/>
                <w:highlight w:val="none"/>
                <w:lang w:val="en-US" w:eastAsia="zh-CN" w:bidi="ar-SA"/>
              </w:rPr>
            </w:pPr>
            <w:r>
              <w:rPr>
                <w:rFonts w:hint="default" w:ascii="Times New Roman" w:hAnsi="Times New Roman" w:eastAsia="仿宋_GB2312" w:cs="Times New Roman"/>
                <w:color w:val="auto"/>
                <w:kern w:val="16"/>
                <w:sz w:val="24"/>
                <w:szCs w:val="22"/>
                <w:highlight w:val="none"/>
                <w:lang w:val="en-US" w:eastAsia="zh-CN" w:bidi="ar-SA"/>
              </w:rPr>
              <w:fldChar w:fldCharType="begin"/>
            </w:r>
            <w:r>
              <w:rPr>
                <w:rFonts w:hint="default" w:ascii="Times New Roman" w:hAnsi="Times New Roman" w:eastAsia="仿宋_GB2312" w:cs="Times New Roman"/>
                <w:color w:val="auto"/>
                <w:kern w:val="16"/>
                <w:sz w:val="24"/>
                <w:szCs w:val="22"/>
                <w:highlight w:val="none"/>
                <w:lang w:val="en-US" w:eastAsia="zh-CN" w:bidi="ar-SA"/>
              </w:rPr>
              <w:instrText xml:space="preserve"> = 2 \* GB3 \* MERGEFORMAT </w:instrText>
            </w:r>
            <w:r>
              <w:rPr>
                <w:rFonts w:hint="default" w:ascii="Times New Roman" w:hAnsi="Times New Roman" w:eastAsia="仿宋_GB2312" w:cs="Times New Roman"/>
                <w:color w:val="auto"/>
                <w:kern w:val="16"/>
                <w:sz w:val="24"/>
                <w:szCs w:val="22"/>
                <w:highlight w:val="none"/>
                <w:lang w:val="en-US" w:eastAsia="zh-CN" w:bidi="ar-SA"/>
              </w:rPr>
              <w:fldChar w:fldCharType="separate"/>
            </w:r>
            <w:r>
              <w:rPr>
                <w:rFonts w:hint="default" w:ascii="Times New Roman" w:hAnsi="Times New Roman" w:eastAsia="仿宋_GB2312" w:cs="Times New Roman"/>
                <w:color w:val="auto"/>
                <w:kern w:val="16"/>
                <w:sz w:val="24"/>
                <w:szCs w:val="22"/>
                <w:highlight w:val="none"/>
                <w:lang w:val="en-US" w:eastAsia="zh-CN" w:bidi="ar-SA"/>
              </w:rPr>
              <w:t>②</w:t>
            </w:r>
            <w:r>
              <w:rPr>
                <w:rFonts w:hint="default" w:ascii="Times New Roman" w:hAnsi="Times New Roman" w:eastAsia="仿宋_GB2312" w:cs="Times New Roman"/>
                <w:color w:val="auto"/>
                <w:kern w:val="16"/>
                <w:sz w:val="24"/>
                <w:szCs w:val="22"/>
                <w:highlight w:val="none"/>
                <w:lang w:val="en-US" w:eastAsia="zh-CN" w:bidi="ar-SA"/>
              </w:rPr>
              <w:fldChar w:fldCharType="end"/>
            </w:r>
            <w:r>
              <w:rPr>
                <w:rFonts w:hint="eastAsia" w:ascii="Times New Roman" w:hAnsi="Times New Roman" w:eastAsia="仿宋_GB2312" w:cs="Times New Roman"/>
                <w:color w:val="auto"/>
                <w:kern w:val="16"/>
                <w:sz w:val="24"/>
                <w:szCs w:val="22"/>
                <w:highlight w:val="none"/>
                <w:lang w:val="en-US" w:eastAsia="zh-CN" w:bidi="ar-SA"/>
              </w:rPr>
              <w:t>检测结果：</w:t>
            </w:r>
          </w:p>
          <w:p>
            <w:pPr>
              <w:adjustRightInd w:val="0"/>
              <w:snapToGrid w:val="0"/>
              <w:ind w:firstLine="420" w:firstLineChars="200"/>
              <w:jc w:val="both"/>
              <w:rPr>
                <w:rFonts w:hint="default" w:ascii="Times New Roman" w:hAnsi="Times New Roman" w:eastAsia="宋体" w:cs="Times New Roman"/>
                <w:b/>
                <w:color w:val="auto"/>
                <w:highlight w:val="none"/>
              </w:rPr>
            </w:pPr>
            <w:r>
              <w:rPr>
                <w:rFonts w:hint="default" w:ascii="Times New Roman" w:hAnsi="Times New Roman" w:eastAsia="宋体" w:cs="Times New Roman"/>
                <w:b w:val="0"/>
                <w:bCs/>
                <w:snapToGrid/>
                <w:color w:val="auto"/>
                <w:kern w:val="2"/>
                <w:sz w:val="21"/>
                <w:szCs w:val="21"/>
                <w:highlight w:val="none"/>
                <w:lang w:val="en-US" w:eastAsia="zh-CN" w:bidi="ar-SA"/>
              </w:rPr>
              <w:t>表</w:t>
            </w:r>
            <w:r>
              <w:rPr>
                <w:rFonts w:hint="eastAsia" w:cs="Times New Roman"/>
                <w:b w:val="0"/>
                <w:bCs/>
                <w:snapToGrid/>
                <w:color w:val="auto"/>
                <w:kern w:val="2"/>
                <w:sz w:val="21"/>
                <w:szCs w:val="21"/>
                <w:highlight w:val="none"/>
                <w:lang w:val="en-US" w:eastAsia="zh-CN" w:bidi="ar-SA"/>
              </w:rPr>
              <w:t>13</w:t>
            </w:r>
            <w:r>
              <w:rPr>
                <w:rFonts w:hint="default" w:ascii="Times New Roman" w:hAnsi="Times New Roman" w:eastAsia="宋体" w:cs="Times New Roman"/>
                <w:b/>
                <w:color w:val="auto"/>
                <w:sz w:val="24"/>
                <w:szCs w:val="24"/>
                <w:highlight w:val="none"/>
              </w:rPr>
              <w:t xml:space="preserve">         噪声</w:t>
            </w:r>
            <w:r>
              <w:rPr>
                <w:rFonts w:hint="eastAsia" w:ascii="Times New Roman" w:hAnsi="Times New Roman" w:eastAsia="宋体" w:cs="Times New Roman"/>
                <w:b/>
                <w:color w:val="auto"/>
                <w:sz w:val="24"/>
                <w:szCs w:val="24"/>
                <w:highlight w:val="none"/>
                <w:lang w:val="en-US" w:eastAsia="zh-CN"/>
              </w:rPr>
              <w:t>监测结果</w:t>
            </w:r>
            <w:r>
              <w:rPr>
                <w:rFonts w:hint="default" w:ascii="Times New Roman" w:hAnsi="Times New Roman" w:eastAsia="宋体" w:cs="Times New Roman"/>
                <w:b/>
                <w:color w:val="auto"/>
                <w:sz w:val="24"/>
                <w:szCs w:val="24"/>
                <w:highlight w:val="none"/>
              </w:rPr>
              <w:t>结果一览表            单位：dB（A）</w:t>
            </w:r>
          </w:p>
          <w:tbl>
            <w:tblPr>
              <w:tblStyle w:val="36"/>
              <w:tblW w:w="855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1668"/>
              <w:gridCol w:w="4978"/>
              <w:gridCol w:w="11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736" w:type="dxa"/>
                  <w:vMerge w:val="restart"/>
                  <w:tcBorders>
                    <w:tl2br w:val="nil"/>
                    <w:tr2bl w:val="nil"/>
                  </w:tcBorders>
                  <w:noWrap w:val="0"/>
                  <w:vAlign w:val="center"/>
                </w:tcPr>
                <w:p>
                  <w:pPr>
                    <w:snapToGrid w:val="0"/>
                    <w:jc w:val="center"/>
                    <w:rPr>
                      <w:rFonts w:hint="default" w:ascii="Times New Roman" w:hAnsi="Times New Roman" w:eastAsia="宋体" w:cs="Times New Roman"/>
                      <w:b/>
                      <w:bCs/>
                      <w:color w:val="auto"/>
                      <w:sz w:val="21"/>
                      <w:szCs w:val="21"/>
                      <w:highlight w:val="none"/>
                      <w:vertAlign w:val="baseline"/>
                      <w:lang w:eastAsia="zh-CN"/>
                    </w:rPr>
                  </w:pPr>
                  <w:r>
                    <w:rPr>
                      <w:rFonts w:hint="eastAsia" w:ascii="Times New Roman" w:hAnsi="Times New Roman" w:eastAsia="宋体" w:cs="Times New Roman"/>
                      <w:b/>
                      <w:bCs/>
                      <w:color w:val="auto"/>
                      <w:sz w:val="21"/>
                      <w:szCs w:val="21"/>
                      <w:highlight w:val="none"/>
                      <w:vertAlign w:val="baseline"/>
                      <w:lang w:eastAsia="zh-CN"/>
                    </w:rPr>
                    <w:t>点位编号</w:t>
                  </w:r>
                </w:p>
              </w:tc>
              <w:tc>
                <w:tcPr>
                  <w:tcW w:w="1668" w:type="dxa"/>
                  <w:vMerge w:val="restart"/>
                  <w:tcBorders>
                    <w:tl2br w:val="nil"/>
                    <w:tr2bl w:val="nil"/>
                  </w:tcBorders>
                  <w:noWrap w:val="0"/>
                  <w:vAlign w:val="center"/>
                </w:tcPr>
                <w:p>
                  <w:pPr>
                    <w:snapToGrid w:val="0"/>
                    <w:jc w:val="center"/>
                    <w:rPr>
                      <w:rFonts w:hint="eastAsia" w:ascii="Times New Roman" w:hAnsi="Times New Roman" w:eastAsia="宋体" w:cs="Times New Roman"/>
                      <w:b/>
                      <w:bCs/>
                      <w:color w:val="auto"/>
                      <w:sz w:val="21"/>
                      <w:szCs w:val="21"/>
                      <w:highlight w:val="none"/>
                      <w:vertAlign w:val="baseline"/>
                      <w:lang w:eastAsia="zh-CN"/>
                    </w:rPr>
                  </w:pPr>
                  <w:r>
                    <w:rPr>
                      <w:rFonts w:hint="eastAsia" w:ascii="Times New Roman" w:hAnsi="Times New Roman" w:eastAsia="宋体" w:cs="Times New Roman"/>
                      <w:b/>
                      <w:bCs/>
                      <w:color w:val="auto"/>
                      <w:sz w:val="21"/>
                      <w:szCs w:val="21"/>
                      <w:highlight w:val="none"/>
                      <w:vertAlign w:val="baseline"/>
                      <w:lang w:eastAsia="zh-CN"/>
                    </w:rPr>
                    <w:t>点位</w:t>
                  </w:r>
                </w:p>
              </w:tc>
              <w:tc>
                <w:tcPr>
                  <w:tcW w:w="4978" w:type="dxa"/>
                  <w:tcBorders>
                    <w:tl2br w:val="nil"/>
                    <w:tr2bl w:val="nil"/>
                  </w:tcBorders>
                  <w:noWrap w:val="0"/>
                  <w:vAlign w:val="center"/>
                </w:tcPr>
                <w:p>
                  <w:pPr>
                    <w:snapToGrid w:val="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检测结果dB（A）</w:t>
                  </w:r>
                </w:p>
              </w:tc>
              <w:tc>
                <w:tcPr>
                  <w:tcW w:w="1175" w:type="dxa"/>
                  <w:vMerge w:val="restart"/>
                  <w:tcBorders>
                    <w:tl2br w:val="nil"/>
                    <w:tr2bl w:val="nil"/>
                  </w:tcBorders>
                  <w:noWrap w:val="0"/>
                  <w:vAlign w:val="center"/>
                </w:tcPr>
                <w:p>
                  <w:pPr>
                    <w:snapToGrid w:val="0"/>
                    <w:jc w:val="center"/>
                    <w:rPr>
                      <w:rFonts w:hint="eastAsia" w:ascii="Times New Roman" w:hAnsi="Times New Roman" w:eastAsia="宋体" w:cs="Times New Roman"/>
                      <w:b/>
                      <w:bCs/>
                      <w:color w:val="auto"/>
                      <w:sz w:val="21"/>
                      <w:szCs w:val="21"/>
                      <w:highlight w:val="none"/>
                      <w:vertAlign w:val="baseline"/>
                      <w:lang w:eastAsia="zh-CN"/>
                    </w:rPr>
                  </w:pPr>
                  <w:r>
                    <w:rPr>
                      <w:rFonts w:hint="eastAsia" w:ascii="Times New Roman" w:hAnsi="Times New Roman" w:eastAsia="宋体" w:cs="Times New Roman"/>
                      <w:b/>
                      <w:bCs/>
                      <w:color w:val="auto"/>
                      <w:sz w:val="21"/>
                      <w:szCs w:val="21"/>
                      <w:highlight w:val="none"/>
                      <w:vertAlign w:val="baseline"/>
                      <w:lang w:eastAsia="zh-CN"/>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736" w:type="dxa"/>
                  <w:vMerge w:val="continue"/>
                  <w:tcBorders>
                    <w:tl2br w:val="nil"/>
                    <w:tr2bl w:val="nil"/>
                  </w:tcBorders>
                  <w:noWrap w:val="0"/>
                  <w:vAlign w:val="center"/>
                </w:tcPr>
                <w:p>
                  <w:pPr>
                    <w:snapToGrid w:val="0"/>
                    <w:jc w:val="center"/>
                    <w:rPr>
                      <w:color w:val="auto"/>
                      <w:highlight w:val="none"/>
                    </w:rPr>
                  </w:pPr>
                </w:p>
              </w:tc>
              <w:tc>
                <w:tcPr>
                  <w:tcW w:w="1668" w:type="dxa"/>
                  <w:vMerge w:val="continue"/>
                  <w:tcBorders>
                    <w:tl2br w:val="nil"/>
                    <w:tr2bl w:val="nil"/>
                  </w:tcBorders>
                  <w:noWrap w:val="0"/>
                  <w:vAlign w:val="center"/>
                </w:tcPr>
                <w:p>
                  <w:pPr>
                    <w:snapToGrid w:val="0"/>
                    <w:jc w:val="center"/>
                    <w:rPr>
                      <w:b/>
                      <w:bCs/>
                      <w:color w:val="auto"/>
                      <w:highlight w:val="none"/>
                    </w:rPr>
                  </w:pPr>
                </w:p>
              </w:tc>
              <w:tc>
                <w:tcPr>
                  <w:tcW w:w="4978" w:type="dxa"/>
                  <w:tcBorders>
                    <w:tl2br w:val="nil"/>
                    <w:tr2bl w:val="nil"/>
                  </w:tcBorders>
                  <w:noWrap w:val="0"/>
                  <w:vAlign w:val="center"/>
                </w:tcPr>
                <w:p>
                  <w:pPr>
                    <w:snapToGrid w:val="0"/>
                    <w:ind w:left="0" w:leftChars="0" w:right="0" w:rightChars="0"/>
                    <w:jc w:val="center"/>
                    <w:rPr>
                      <w:rFonts w:hint="eastAsia" w:ascii="Times New Roman" w:hAnsi="Times New Roman" w:eastAsia="宋体" w:cs="Times New Roman"/>
                      <w:b/>
                      <w:bCs/>
                      <w:color w:val="auto"/>
                      <w:sz w:val="21"/>
                      <w:szCs w:val="21"/>
                      <w:highlight w:val="none"/>
                      <w:vertAlign w:val="baseline"/>
                      <w:lang w:eastAsia="zh-CN"/>
                    </w:rPr>
                  </w:pPr>
                  <w:r>
                    <w:rPr>
                      <w:rFonts w:hint="eastAsia" w:ascii="Times New Roman" w:hAnsi="Times New Roman" w:eastAsia="宋体" w:cs="Times New Roman"/>
                      <w:b/>
                      <w:bCs/>
                      <w:color w:val="auto"/>
                      <w:sz w:val="21"/>
                      <w:szCs w:val="21"/>
                      <w:highlight w:val="none"/>
                      <w:vertAlign w:val="baseline"/>
                      <w:lang w:eastAsia="zh-CN"/>
                    </w:rPr>
                    <w:t>昼间</w:t>
                  </w:r>
                </w:p>
              </w:tc>
              <w:tc>
                <w:tcPr>
                  <w:tcW w:w="1175" w:type="dxa"/>
                  <w:vMerge w:val="continue"/>
                  <w:tcBorders>
                    <w:tl2br w:val="nil"/>
                    <w:tr2bl w:val="nil"/>
                  </w:tcBorders>
                  <w:noWrap w:val="0"/>
                  <w:vAlign w:val="center"/>
                </w:tcPr>
                <w:p>
                  <w:pPr>
                    <w:snapToGrid w:val="0"/>
                    <w:jc w:val="center"/>
                    <w:rPr>
                      <w:rFonts w:hint="eastAsia" w:ascii="Times New Roman" w:hAnsi="Times New Roman" w:eastAsia="宋体" w:cs="Times New Roman"/>
                      <w:b/>
                      <w:bCs/>
                      <w:color w:val="auto"/>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736" w:type="dxa"/>
                  <w:tcBorders>
                    <w:tl2br w:val="nil"/>
                    <w:tr2bl w:val="nil"/>
                  </w:tcBorders>
                  <w:noWrap w:val="0"/>
                  <w:vAlign w:val="center"/>
                </w:tcPr>
                <w:p>
                  <w:pPr>
                    <w:snapToGrid w:val="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eastAsia="zh-CN"/>
                    </w:rPr>
                    <w:t>△</w:t>
                  </w:r>
                  <w:r>
                    <w:rPr>
                      <w:rFonts w:hint="eastAsia" w:ascii="Times New Roman" w:hAnsi="Times New Roman" w:eastAsia="宋体" w:cs="Times New Roman"/>
                      <w:b/>
                      <w:bCs/>
                      <w:color w:val="auto"/>
                      <w:sz w:val="21"/>
                      <w:szCs w:val="21"/>
                      <w:highlight w:val="none"/>
                      <w:vertAlign w:val="baseline"/>
                      <w:lang w:val="en-US" w:eastAsia="zh-CN"/>
                    </w:rPr>
                    <w:t>1#</w:t>
                  </w:r>
                </w:p>
              </w:tc>
              <w:tc>
                <w:tcPr>
                  <w:tcW w:w="1668" w:type="dxa"/>
                  <w:tcBorders>
                    <w:tl2br w:val="nil"/>
                    <w:tr2bl w:val="nil"/>
                  </w:tcBorders>
                  <w:noWrap w:val="0"/>
                  <w:vAlign w:val="center"/>
                </w:tcPr>
                <w:p>
                  <w:pPr>
                    <w:snapToGrid w:val="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1#居民点</w:t>
                  </w:r>
                </w:p>
              </w:tc>
              <w:tc>
                <w:tcPr>
                  <w:tcW w:w="4978" w:type="dxa"/>
                  <w:tcBorders>
                    <w:tl2br w:val="nil"/>
                    <w:tr2bl w:val="nil"/>
                  </w:tcBorders>
                  <w:noWrap w:val="0"/>
                  <w:vAlign w:val="center"/>
                </w:tcPr>
                <w:p>
                  <w:pPr>
                    <w:snapToGrid w:val="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42</w:t>
                  </w:r>
                </w:p>
              </w:tc>
              <w:tc>
                <w:tcPr>
                  <w:tcW w:w="1175" w:type="dxa"/>
                  <w:tcBorders>
                    <w:tl2br w:val="nil"/>
                    <w:tr2bl w:val="nil"/>
                  </w:tcBorders>
                  <w:noWrap w:val="0"/>
                  <w:vAlign w:val="center"/>
                </w:tcPr>
                <w:p>
                  <w:pPr>
                    <w:snapToGrid w:val="0"/>
                    <w:jc w:val="center"/>
                    <w:rPr>
                      <w:rFonts w:hint="eastAsia" w:ascii="Times New Roman" w:hAnsi="Times New Roman" w:eastAsia="宋体" w:cs="Times New Roman"/>
                      <w:b w:val="0"/>
                      <w:bCs w:val="0"/>
                      <w:color w:val="auto"/>
                      <w:sz w:val="21"/>
                      <w:szCs w:val="21"/>
                      <w:highlight w:val="none"/>
                      <w:vertAlign w:val="baseline"/>
                      <w:lang w:eastAsia="zh-CN"/>
                    </w:rPr>
                  </w:pPr>
                  <w:r>
                    <w:rPr>
                      <w:rFonts w:hint="eastAsia" w:ascii="Times New Roman" w:hAnsi="Times New Roman" w:eastAsia="宋体" w:cs="Times New Roman"/>
                      <w:b w:val="0"/>
                      <w:bCs w:val="0"/>
                      <w:color w:val="auto"/>
                      <w:sz w:val="21"/>
                      <w:szCs w:val="21"/>
                      <w:highlight w:val="none"/>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87" w:hRule="atLeast"/>
                <w:jc w:val="center"/>
              </w:trPr>
              <w:tc>
                <w:tcPr>
                  <w:tcW w:w="736" w:type="dxa"/>
                  <w:tcBorders>
                    <w:tl2br w:val="nil"/>
                    <w:tr2bl w:val="nil"/>
                  </w:tcBorders>
                  <w:noWrap w:val="0"/>
                  <w:vAlign w:val="center"/>
                </w:tcPr>
                <w:p>
                  <w:pPr>
                    <w:snapToGrid w:val="0"/>
                    <w:jc w:val="center"/>
                    <w:rPr>
                      <w:rFonts w:hint="default" w:ascii="Times New Roman" w:hAnsi="Times New Roman" w:eastAsia="宋体" w:cs="Times New Roman"/>
                      <w:b/>
                      <w:bCs/>
                      <w:color w:val="auto"/>
                      <w:sz w:val="21"/>
                      <w:szCs w:val="21"/>
                      <w:highlight w:val="none"/>
                      <w:vertAlign w:val="baseline"/>
                      <w:lang w:eastAsia="zh-CN"/>
                    </w:rPr>
                  </w:pPr>
                  <w:r>
                    <w:rPr>
                      <w:rFonts w:hint="eastAsia" w:ascii="Times New Roman" w:hAnsi="Times New Roman" w:eastAsia="宋体" w:cs="Times New Roman"/>
                      <w:b/>
                      <w:bCs/>
                      <w:color w:val="auto"/>
                      <w:sz w:val="21"/>
                      <w:szCs w:val="21"/>
                      <w:highlight w:val="none"/>
                      <w:vertAlign w:val="baseline"/>
                      <w:lang w:eastAsia="zh-CN"/>
                    </w:rPr>
                    <w:t>△</w:t>
                  </w:r>
                  <w:r>
                    <w:rPr>
                      <w:rFonts w:hint="eastAsia" w:ascii="Times New Roman" w:hAnsi="Times New Roman" w:eastAsia="宋体" w:cs="Times New Roman"/>
                      <w:b/>
                      <w:bCs/>
                      <w:color w:val="auto"/>
                      <w:sz w:val="21"/>
                      <w:szCs w:val="21"/>
                      <w:highlight w:val="none"/>
                      <w:vertAlign w:val="baseline"/>
                      <w:lang w:val="en-US" w:eastAsia="zh-CN"/>
                    </w:rPr>
                    <w:t>2#</w:t>
                  </w:r>
                </w:p>
              </w:tc>
              <w:tc>
                <w:tcPr>
                  <w:tcW w:w="1668" w:type="dxa"/>
                  <w:tcBorders>
                    <w:tl2br w:val="nil"/>
                    <w:tr2bl w:val="nil"/>
                  </w:tcBorders>
                  <w:noWrap w:val="0"/>
                  <w:vAlign w:val="center"/>
                </w:tcPr>
                <w:p>
                  <w:pPr>
                    <w:snapToGrid w:val="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2#居民点</w:t>
                  </w:r>
                </w:p>
              </w:tc>
              <w:tc>
                <w:tcPr>
                  <w:tcW w:w="4978" w:type="dxa"/>
                  <w:tcBorders>
                    <w:tl2br w:val="nil"/>
                    <w:tr2bl w:val="nil"/>
                  </w:tcBorders>
                  <w:noWrap w:val="0"/>
                  <w:vAlign w:val="center"/>
                </w:tcPr>
                <w:p>
                  <w:pPr>
                    <w:snapToGrid w:val="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37</w:t>
                  </w:r>
                </w:p>
              </w:tc>
              <w:tc>
                <w:tcPr>
                  <w:tcW w:w="1175" w:type="dxa"/>
                  <w:tcBorders>
                    <w:tl2br w:val="nil"/>
                    <w:tr2bl w:val="nil"/>
                  </w:tcBorders>
                  <w:noWrap w:val="0"/>
                  <w:vAlign w:val="center"/>
                </w:tcPr>
                <w:p>
                  <w:pPr>
                    <w:snapToGrid w:val="0"/>
                    <w:jc w:val="center"/>
                    <w:rPr>
                      <w:rFonts w:hint="default" w:ascii="Times New Roman" w:hAnsi="Times New Roman" w:eastAsia="宋体" w:cs="Times New Roman"/>
                      <w:b w:val="0"/>
                      <w:bCs w:val="0"/>
                      <w:color w:val="auto"/>
                      <w:sz w:val="21"/>
                      <w:szCs w:val="21"/>
                      <w:highlight w:val="none"/>
                      <w:vertAlign w:val="baseline"/>
                      <w:lang w:eastAsia="zh-CN"/>
                    </w:rPr>
                  </w:pPr>
                  <w:r>
                    <w:rPr>
                      <w:rFonts w:hint="eastAsia" w:ascii="Times New Roman" w:hAnsi="Times New Roman" w:eastAsia="宋体" w:cs="Times New Roman"/>
                      <w:b w:val="0"/>
                      <w:bCs w:val="0"/>
                      <w:color w:val="auto"/>
                      <w:sz w:val="21"/>
                      <w:szCs w:val="21"/>
                      <w:highlight w:val="none"/>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736" w:type="dxa"/>
                  <w:tcBorders>
                    <w:tl2br w:val="nil"/>
                    <w:tr2bl w:val="nil"/>
                  </w:tcBorders>
                  <w:shd w:val="clear" w:color="auto" w:fill="auto"/>
                  <w:noWrap w:val="0"/>
                  <w:vAlign w:val="center"/>
                </w:tcPr>
                <w:p>
                  <w:pPr>
                    <w:snapToGrid w:val="0"/>
                    <w:jc w:val="center"/>
                    <w:rPr>
                      <w:rFonts w:hint="eastAsia"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sz w:val="21"/>
                      <w:szCs w:val="21"/>
                      <w:highlight w:val="none"/>
                      <w:vertAlign w:val="baseline"/>
                      <w:lang w:eastAsia="zh-CN"/>
                    </w:rPr>
                    <w:t>△</w:t>
                  </w:r>
                  <w:r>
                    <w:rPr>
                      <w:rFonts w:hint="eastAsia" w:ascii="Times New Roman" w:hAnsi="Times New Roman" w:eastAsia="宋体" w:cs="Times New Roman"/>
                      <w:b/>
                      <w:bCs/>
                      <w:color w:val="auto"/>
                      <w:sz w:val="21"/>
                      <w:szCs w:val="21"/>
                      <w:highlight w:val="none"/>
                      <w:vertAlign w:val="baseline"/>
                      <w:lang w:val="en-US" w:eastAsia="zh-CN"/>
                    </w:rPr>
                    <w:t>3#</w:t>
                  </w:r>
                </w:p>
              </w:tc>
              <w:tc>
                <w:tcPr>
                  <w:tcW w:w="1668" w:type="dxa"/>
                  <w:tcBorders>
                    <w:tl2br w:val="nil"/>
                    <w:tr2bl w:val="nil"/>
                  </w:tcBorders>
                  <w:shd w:val="clear" w:color="auto" w:fill="auto"/>
                  <w:noWrap w:val="0"/>
                  <w:vAlign w:val="center"/>
                </w:tcPr>
                <w:p>
                  <w:pPr>
                    <w:snapToGrid w:val="0"/>
                    <w:jc w:val="center"/>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3#居民点</w:t>
                  </w:r>
                </w:p>
              </w:tc>
              <w:tc>
                <w:tcPr>
                  <w:tcW w:w="4978" w:type="dxa"/>
                  <w:tcBorders>
                    <w:tl2br w:val="nil"/>
                    <w:tr2bl w:val="nil"/>
                  </w:tcBorders>
                  <w:shd w:val="clear" w:color="auto" w:fill="auto"/>
                  <w:noWrap w:val="0"/>
                  <w:vAlign w:val="center"/>
                </w:tcPr>
                <w:p>
                  <w:pPr>
                    <w:snapToGrid w:val="0"/>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45</w:t>
                  </w:r>
                </w:p>
              </w:tc>
              <w:tc>
                <w:tcPr>
                  <w:tcW w:w="1175" w:type="dxa"/>
                  <w:tcBorders>
                    <w:tl2br w:val="nil"/>
                    <w:tr2bl w:val="nil"/>
                  </w:tcBorders>
                  <w:shd w:val="clear" w:color="auto" w:fill="auto"/>
                  <w:noWrap w:val="0"/>
                  <w:vAlign w:val="center"/>
                </w:tcPr>
                <w:p>
                  <w:pPr>
                    <w:snapToGrid w:val="0"/>
                    <w:jc w:val="center"/>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8557" w:type="dxa"/>
                  <w:gridSpan w:val="4"/>
                  <w:tcBorders>
                    <w:tl2br w:val="nil"/>
                    <w:tr2bl w:val="nil"/>
                  </w:tcBorders>
                  <w:noWrap w:val="0"/>
                  <w:vAlign w:val="center"/>
                </w:tcPr>
                <w:p>
                  <w:pPr>
                    <w:snapToGrid w:val="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本项目昼、夜间噪声值符合《声环境质量标准》（GB3096-2008）中的1类标准要求。</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仿宋_GB2312" w:cs="Times New Roman"/>
                <w:b/>
                <w:bCs/>
                <w:color w:val="auto"/>
                <w:sz w:val="24"/>
                <w:szCs w:val="24"/>
                <w:highlight w:val="none"/>
                <w:lang w:eastAsia="zh-CN"/>
              </w:rPr>
            </w:pPr>
            <w:r>
              <w:rPr>
                <w:rFonts w:hint="eastAsia" w:eastAsia="仿宋_GB2312" w:cs="Times New Roman"/>
                <w:b/>
                <w:color w:val="auto"/>
                <w:sz w:val="24"/>
                <w:szCs w:val="24"/>
                <w:highlight w:val="none"/>
                <w:lang w:val="en-US" w:eastAsia="zh-CN"/>
              </w:rPr>
              <w:t>5</w:t>
            </w:r>
            <w:r>
              <w:rPr>
                <w:rFonts w:hint="default" w:ascii="Times New Roman" w:hAnsi="Times New Roman" w:eastAsia="仿宋_GB2312" w:cs="Times New Roman"/>
                <w:b/>
                <w:color w:val="auto"/>
                <w:sz w:val="24"/>
                <w:szCs w:val="24"/>
                <w:highlight w:val="none"/>
              </w:rPr>
              <w:t>、</w:t>
            </w:r>
            <w:r>
              <w:rPr>
                <w:rFonts w:hint="default" w:ascii="Times New Roman" w:hAnsi="Times New Roman" w:eastAsia="仿宋_GB2312" w:cs="Times New Roman"/>
                <w:b/>
                <w:bCs/>
                <w:color w:val="auto"/>
                <w:sz w:val="24"/>
                <w:szCs w:val="24"/>
                <w:highlight w:val="none"/>
              </w:rPr>
              <w:t>地下水</w:t>
            </w:r>
            <w:r>
              <w:rPr>
                <w:rFonts w:hint="eastAsia" w:eastAsia="仿宋_GB2312" w:cs="Times New Roman"/>
                <w:b/>
                <w:bCs/>
                <w:color w:val="auto"/>
                <w:sz w:val="24"/>
                <w:szCs w:val="24"/>
                <w:highlight w:val="none"/>
                <w:lang w:eastAsia="zh-CN"/>
              </w:rPr>
              <w:t>、</w:t>
            </w:r>
            <w:r>
              <w:rPr>
                <w:rFonts w:hint="default" w:ascii="Times New Roman" w:hAnsi="Times New Roman" w:eastAsia="仿宋_GB2312" w:cs="Times New Roman"/>
                <w:b/>
                <w:color w:val="auto"/>
                <w:sz w:val="24"/>
                <w:szCs w:val="24"/>
                <w:highlight w:val="none"/>
              </w:rPr>
              <w:t>土壤</w:t>
            </w:r>
            <w:r>
              <w:rPr>
                <w:rFonts w:hint="eastAsia" w:eastAsia="仿宋_GB2312" w:cs="Times New Roman"/>
                <w:b/>
                <w:color w:val="auto"/>
                <w:sz w:val="24"/>
                <w:szCs w:val="24"/>
                <w:highlight w:val="none"/>
                <w:lang w:eastAsia="zh-CN"/>
              </w:rPr>
              <w:t>环境</w:t>
            </w:r>
            <w:r>
              <w:rPr>
                <w:rFonts w:hint="default" w:ascii="Times New Roman" w:hAnsi="Times New Roman" w:eastAsia="仿宋_GB2312" w:cs="Times New Roman"/>
                <w:b/>
                <w:color w:val="auto"/>
                <w:sz w:val="24"/>
                <w:szCs w:val="24"/>
                <w:highlight w:val="none"/>
                <w:lang w:eastAsia="zh-CN"/>
              </w:rPr>
              <w:t>现状</w:t>
            </w:r>
          </w:p>
          <w:p>
            <w:pPr>
              <w:pStyle w:val="90"/>
              <w:keepNext w:val="0"/>
              <w:keepLines w:val="0"/>
              <w:pageBreakBefore w:val="0"/>
              <w:widowControl w:val="0"/>
              <w:kinsoku/>
              <w:wordWrap/>
              <w:overflowPunct/>
              <w:topLinePunct w:val="0"/>
              <w:bidi w:val="0"/>
              <w:adjustRightInd/>
              <w:snapToGrid/>
              <w:spacing w:line="360" w:lineRule="auto"/>
              <w:ind w:left="0" w:firstLine="480" w:firstLineChars="200"/>
              <w:textAlignment w:val="auto"/>
              <w:rPr>
                <w:rFonts w:hint="default" w:ascii="Times New Roman" w:hAnsi="Times New Roman" w:eastAsia="仿宋_GB2312" w:cs="Times New Roman"/>
                <w:color w:val="auto"/>
                <w:kern w:val="0"/>
                <w:sz w:val="24"/>
                <w:highlight w:val="none"/>
                <w:lang w:val="en-US"/>
              </w:rPr>
            </w:pPr>
            <w:r>
              <w:rPr>
                <w:rFonts w:hint="default" w:ascii="Times New Roman" w:hAnsi="Times New Roman" w:eastAsia="仿宋_GB2312" w:cs="Times New Roman"/>
                <w:color w:val="auto"/>
                <w:kern w:val="24"/>
                <w:sz w:val="24"/>
                <w:szCs w:val="24"/>
                <w:lang w:val="en-US" w:eastAsia="zh-CN" w:bidi="ar-SA"/>
              </w:rPr>
              <w:t>根据《建设项目环境影响报告表编制技术指南》（生态影响类）（试行），地下水、土壤等其他环境要素参照环境影响评价相关技术导则开展补充监测和调查。根据《环境影响评价技术导则 地下水环境》（HJ610-2016）</w:t>
            </w:r>
            <w:r>
              <w:rPr>
                <w:rFonts w:hint="eastAsia" w:ascii="Times New Roman" w:hAnsi="Times New Roman" w:eastAsia="仿宋_GB2312" w:cs="Times New Roman"/>
                <w:color w:val="auto"/>
                <w:kern w:val="24"/>
                <w:sz w:val="24"/>
                <w:szCs w:val="24"/>
                <w:lang w:val="en-US" w:eastAsia="zh-CN" w:bidi="ar-SA"/>
              </w:rPr>
              <w:t>,</w:t>
            </w:r>
            <w:r>
              <w:rPr>
                <w:rFonts w:hint="eastAsia" w:ascii="Times New Roman" w:hAnsi="Times New Roman" w:eastAsia="仿宋_GB2312" w:cs="Times New Roman"/>
                <w:color w:val="auto"/>
                <w:kern w:val="16"/>
                <w:sz w:val="24"/>
                <w:szCs w:val="24"/>
                <w:highlight w:val="none"/>
                <w:lang w:val="en-US" w:eastAsia="zh-CN" w:bidi="ar-SA"/>
              </w:rPr>
              <w:t>本项目为农产品基地项目，本项目地下水环境影响评价行业分类属于Ⅳ类项目，不需要进行地下水环境影响评价。根据《环境影响评价技术导则 土壤环境（试行）》 （HJ964-2018）附录 A，本项目土壤环境影响评价项目类别属于Ⅳ类项目，不需要进行土壤环境影响评价。</w:t>
            </w:r>
            <w:r>
              <w:rPr>
                <w:rFonts w:hint="eastAsia" w:eastAsia="仿宋_GB2312" w:cs="Times New Roman"/>
                <w:color w:val="auto"/>
                <w:kern w:val="0"/>
                <w:sz w:val="24"/>
                <w:szCs w:val="24"/>
                <w:highlight w:val="none"/>
                <w:lang w:val="en-US" w:eastAsia="zh-CN" w:bidi="ar-SA"/>
              </w:rPr>
              <w:t>且项目区内不存在地下水环境敏感目标，</w:t>
            </w:r>
            <w:r>
              <w:rPr>
                <w:rFonts w:hint="eastAsia" w:ascii="Times New Roman" w:hAnsi="Times New Roman" w:eastAsia="仿宋_GB2312" w:cs="Times New Roman"/>
                <w:color w:val="auto"/>
                <w:kern w:val="16"/>
                <w:sz w:val="24"/>
                <w:szCs w:val="24"/>
                <w:highlight w:val="none"/>
                <w:lang w:val="en-US" w:eastAsia="zh-CN" w:bidi="ar-SA"/>
              </w:rPr>
              <w:t>本项目无地下水及土壤污染途径，无需进行地下水、土壤环境现状调查。</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90" w:hRule="atLeast"/>
          <w:jc w:val="center"/>
        </w:trPr>
        <w:tc>
          <w:tcPr>
            <w:tcW w:w="532" w:type="dxa"/>
            <w:tcBorders>
              <w:tl2br w:val="nil"/>
              <w:tr2bl w:val="nil"/>
            </w:tcBorders>
            <w:vAlign w:val="center"/>
          </w:tcPr>
          <w:p>
            <w:pPr>
              <w:adjustRightInd w:val="0"/>
              <w:snapToGrid w:val="0"/>
              <w:jc w:val="center"/>
              <w:rPr>
                <w:rFonts w:hint="default" w:ascii="Times New Roman" w:hAnsi="Times New Roman" w:eastAsia="仿宋_GB2312" w:cs="Times New Roman"/>
                <w:color w:val="auto"/>
                <w:highlight w:val="none"/>
                <w:lang w:eastAsia="zh-CN"/>
              </w:rPr>
            </w:pPr>
            <w:r>
              <w:rPr>
                <w:rFonts w:hint="default" w:ascii="Times New Roman" w:hAnsi="Times New Roman" w:eastAsia="仿宋_GB2312" w:cs="Times New Roman"/>
                <w:b/>
                <w:bCs/>
                <w:color w:val="auto"/>
                <w:kern w:val="0"/>
                <w:sz w:val="21"/>
                <w:szCs w:val="21"/>
                <w:highlight w:val="none"/>
                <w:lang w:eastAsia="zh-CN"/>
              </w:rPr>
              <w:t>与项目有关的原有环境污染和生态破坏问题</w:t>
            </w:r>
          </w:p>
        </w:tc>
        <w:tc>
          <w:tcPr>
            <w:tcW w:w="86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360" w:lineRule="auto"/>
              <w:ind w:right="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本项目为新建项目，位于农村地区，无与项目有关的原有环境污染和生态破坏问题。</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2601" w:hRule="atLeast"/>
          <w:jc w:val="center"/>
        </w:trPr>
        <w:tc>
          <w:tcPr>
            <w:tcW w:w="532" w:type="dxa"/>
            <w:tcBorders>
              <w:tl2br w:val="nil"/>
              <w:tr2bl w:val="nil"/>
            </w:tcBorders>
            <w:vAlign w:val="center"/>
          </w:tcPr>
          <w:p>
            <w:pPr>
              <w:adjustRightInd w:val="0"/>
              <w:snapToGrid w:val="0"/>
              <w:jc w:val="center"/>
              <w:rPr>
                <w:rFonts w:hint="default" w:ascii="Times New Roman" w:hAnsi="Times New Roman" w:eastAsia="仿宋_GB2312" w:cs="Times New Roman"/>
                <w:color w:val="auto"/>
                <w:highlight w:val="none"/>
              </w:rPr>
            </w:pPr>
            <w:r>
              <w:rPr>
                <w:rFonts w:hint="default" w:ascii="Times New Roman" w:hAnsi="Times New Roman" w:eastAsia="仿宋_GB2312" w:cs="Times New Roman"/>
                <w:b/>
                <w:bCs/>
                <w:color w:val="auto"/>
                <w:kern w:val="0"/>
                <w:sz w:val="24"/>
                <w:highlight w:val="none"/>
                <w:lang w:eastAsia="zh-CN"/>
              </w:rPr>
              <w:t>生态</w:t>
            </w:r>
            <w:r>
              <w:rPr>
                <w:rFonts w:hint="default" w:ascii="Times New Roman" w:hAnsi="Times New Roman" w:eastAsia="仿宋_GB2312" w:cs="Times New Roman"/>
                <w:b/>
                <w:bCs/>
                <w:color w:val="auto"/>
                <w:kern w:val="0"/>
                <w:sz w:val="24"/>
                <w:highlight w:val="none"/>
              </w:rPr>
              <w:t>环境保护目标</w:t>
            </w:r>
          </w:p>
        </w:tc>
        <w:tc>
          <w:tcPr>
            <w:tcW w:w="8669" w:type="dxa"/>
            <w:tcBorders>
              <w:tl2br w:val="nil"/>
              <w:tr2bl w:val="nil"/>
            </w:tcBorders>
            <w:vAlign w:val="top"/>
          </w:tcPr>
          <w:p>
            <w:pPr>
              <w:keepNext w:val="0"/>
              <w:keepLines w:val="0"/>
              <w:pageBreakBefore w:val="0"/>
              <w:widowControl w:val="0"/>
              <w:kinsoku/>
              <w:wordWrap/>
              <w:overflowPunct/>
              <w:topLinePunct w:val="0"/>
              <w:bidi w:val="0"/>
              <w:adjustRightInd/>
              <w:snapToGrid/>
              <w:spacing w:line="360" w:lineRule="auto"/>
              <w:textAlignment w:val="auto"/>
              <w:rPr>
                <w:rFonts w:hint="default" w:ascii="Times New Roman" w:hAnsi="Times New Roman" w:eastAsia="仿宋_GB2312" w:cs="Times New Roman"/>
                <w:b/>
                <w:bCs/>
                <w:color w:val="auto"/>
                <w:sz w:val="24"/>
                <w:szCs w:val="32"/>
                <w:highlight w:val="none"/>
              </w:rPr>
            </w:pPr>
            <w:r>
              <w:rPr>
                <w:rFonts w:hint="default" w:ascii="Times New Roman" w:hAnsi="Times New Roman" w:eastAsia="仿宋_GB2312" w:cs="Times New Roman"/>
                <w:b/>
                <w:bCs/>
                <w:color w:val="auto"/>
                <w:sz w:val="24"/>
                <w:szCs w:val="32"/>
                <w:highlight w:val="none"/>
              </w:rPr>
              <w:t>1、生态环境</w:t>
            </w:r>
          </w:p>
          <w:p>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仿宋_GB2312" w:cs="Times New Roman"/>
                <w:color w:val="auto"/>
                <w:sz w:val="24"/>
                <w:szCs w:val="32"/>
                <w:highlight w:val="none"/>
                <w:lang w:eastAsia="zh-CN"/>
              </w:rPr>
            </w:pPr>
            <w:r>
              <w:rPr>
                <w:rFonts w:hint="default" w:ascii="Times New Roman" w:hAnsi="Times New Roman" w:eastAsia="仿宋_GB2312" w:cs="Times New Roman"/>
                <w:color w:val="auto"/>
                <w:sz w:val="24"/>
                <w:szCs w:val="32"/>
                <w:highlight w:val="none"/>
                <w:lang w:eastAsia="zh-CN"/>
              </w:rPr>
              <w:t>按照《环境影响评价技术导则 生态影响》（HJ19-2022）相关要求，</w:t>
            </w:r>
            <w:r>
              <w:rPr>
                <w:rFonts w:hint="default" w:ascii="Times New Roman" w:hAnsi="Times New Roman" w:eastAsia="仿宋_GB2312" w:cs="Times New Roman"/>
                <w:color w:val="auto"/>
                <w:sz w:val="24"/>
                <w:szCs w:val="24"/>
                <w:highlight w:val="none"/>
                <w:lang w:val="en-US" w:eastAsia="zh-CN"/>
              </w:rPr>
              <w:t>依据建设项目影响区域的生态敏感性和影响程度，判定本项目生态影响评价等级为三级，本项目直接影响区域为项目占地范围内，无间接影响区域</w:t>
            </w:r>
            <w:r>
              <w:rPr>
                <w:rFonts w:hint="default" w:ascii="Times New Roman" w:hAnsi="Times New Roman" w:eastAsia="仿宋_GB2312" w:cs="Times New Roman"/>
                <w:color w:val="auto"/>
                <w:sz w:val="24"/>
                <w:szCs w:val="32"/>
                <w:highlight w:val="none"/>
                <w:lang w:eastAsia="zh-CN"/>
              </w:rPr>
              <w:t>，主要生态保护目标见下表：</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仿宋_GB2312" w:cs="Times New Roman"/>
                <w:b/>
                <w:bCs/>
                <w:color w:val="auto"/>
                <w:kern w:val="0"/>
                <w:sz w:val="24"/>
                <w:szCs w:val="24"/>
                <w:highlight w:val="none"/>
                <w:lang w:val="en-US" w:eastAsia="zh-CN" w:bidi="ar-SA"/>
              </w:rPr>
            </w:pPr>
            <w:r>
              <w:rPr>
                <w:rFonts w:hint="default" w:ascii="Times New Roman" w:hAnsi="Times New Roman" w:eastAsia="仿宋_GB2312" w:cs="Times New Roman"/>
                <w:b w:val="0"/>
                <w:bCs w:val="0"/>
                <w:color w:val="auto"/>
                <w:kern w:val="0"/>
                <w:sz w:val="21"/>
                <w:szCs w:val="21"/>
                <w:highlight w:val="none"/>
                <w:lang w:val="en-US" w:eastAsia="zh-CN" w:bidi="ar-SA"/>
              </w:rPr>
              <w:t>表</w:t>
            </w:r>
            <w:r>
              <w:rPr>
                <w:rFonts w:hint="eastAsia" w:eastAsia="仿宋_GB2312" w:cs="Times New Roman"/>
                <w:b w:val="0"/>
                <w:bCs w:val="0"/>
                <w:color w:val="auto"/>
                <w:kern w:val="0"/>
                <w:sz w:val="21"/>
                <w:szCs w:val="21"/>
                <w:highlight w:val="none"/>
                <w:lang w:val="en-US" w:eastAsia="zh-CN" w:bidi="ar-SA"/>
              </w:rPr>
              <w:t>14</w:t>
            </w:r>
            <w:r>
              <w:rPr>
                <w:rFonts w:hint="eastAsia" w:ascii="宋体" w:hAnsi="宋体" w:eastAsia="宋体" w:cs="宋体"/>
                <w:b w:val="0"/>
                <w:bCs w:val="0"/>
                <w:color w:val="auto"/>
                <w:kern w:val="0"/>
                <w:sz w:val="21"/>
                <w:szCs w:val="21"/>
                <w:highlight w:val="none"/>
                <w:lang w:val="en-US" w:eastAsia="zh-CN" w:bidi="ar-SA"/>
              </w:rPr>
              <w:t xml:space="preserve">                </w:t>
            </w:r>
            <w:r>
              <w:rPr>
                <w:rFonts w:hint="eastAsia" w:ascii="宋体" w:hAnsi="宋体" w:cs="宋体"/>
                <w:b w:val="0"/>
                <w:bCs w:val="0"/>
                <w:color w:val="auto"/>
                <w:kern w:val="0"/>
                <w:sz w:val="21"/>
                <w:szCs w:val="21"/>
                <w:highlight w:val="none"/>
                <w:lang w:val="en-US" w:eastAsia="zh-CN" w:bidi="ar-SA"/>
              </w:rPr>
              <w:t xml:space="preserve">     </w:t>
            </w:r>
            <w:r>
              <w:rPr>
                <w:rFonts w:hint="eastAsia" w:ascii="宋体" w:hAnsi="宋体" w:eastAsia="宋体" w:cs="宋体"/>
                <w:b w:val="0"/>
                <w:bCs w:val="0"/>
                <w:color w:val="auto"/>
                <w:kern w:val="0"/>
                <w:sz w:val="21"/>
                <w:szCs w:val="21"/>
                <w:highlight w:val="none"/>
                <w:lang w:val="en-US" w:eastAsia="zh-CN" w:bidi="ar-SA"/>
              </w:rPr>
              <w:t xml:space="preserve">  </w:t>
            </w:r>
            <w:r>
              <w:rPr>
                <w:rFonts w:hint="eastAsia" w:ascii="宋体" w:hAnsi="宋体" w:eastAsia="宋体" w:cs="宋体"/>
                <w:b/>
                <w:bCs/>
                <w:color w:val="auto"/>
                <w:kern w:val="0"/>
                <w:sz w:val="24"/>
                <w:szCs w:val="24"/>
                <w:highlight w:val="none"/>
                <w:lang w:val="en-US" w:eastAsia="zh-CN" w:bidi="ar-SA"/>
              </w:rPr>
              <w:t>生态环境保护目标</w:t>
            </w:r>
          </w:p>
          <w:tbl>
            <w:tblPr>
              <w:tblStyle w:val="36"/>
              <w:tblW w:w="839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08"/>
              <w:gridCol w:w="1822"/>
              <w:gridCol w:w="1802"/>
              <w:gridCol w:w="1679"/>
              <w:gridCol w:w="16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3"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环境要素</w:t>
                  </w:r>
                </w:p>
              </w:tc>
              <w:tc>
                <w:tcPr>
                  <w:tcW w:w="175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保护内容</w:t>
                  </w:r>
                </w:p>
              </w:tc>
              <w:tc>
                <w:tcPr>
                  <w:tcW w:w="173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位置关系</w:t>
                  </w:r>
                </w:p>
              </w:tc>
              <w:tc>
                <w:tcPr>
                  <w:tcW w:w="161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功能</w:t>
                  </w:r>
                </w:p>
              </w:tc>
              <w:tc>
                <w:tcPr>
                  <w:tcW w:w="161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保护级别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3"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生态环境</w:t>
                  </w:r>
                </w:p>
              </w:tc>
              <w:tc>
                <w:tcPr>
                  <w:tcW w:w="175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评价区动物、植物、土壤、耕地</w:t>
                  </w:r>
                </w:p>
              </w:tc>
              <w:tc>
                <w:tcPr>
                  <w:tcW w:w="173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项目占地范围内</w:t>
                  </w:r>
                </w:p>
              </w:tc>
              <w:tc>
                <w:tcPr>
                  <w:tcW w:w="161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维持生态平衡</w:t>
                  </w:r>
                </w:p>
              </w:tc>
              <w:tc>
                <w:tcPr>
                  <w:tcW w:w="161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保护生态环境</w:t>
                  </w:r>
                </w:p>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良性循环</w:t>
                  </w:r>
                </w:p>
              </w:tc>
            </w:tr>
          </w:tbl>
          <w:p>
            <w:pPr>
              <w:keepNext w:val="0"/>
              <w:keepLines w:val="0"/>
              <w:pageBreakBefore w:val="0"/>
              <w:widowControl w:val="0"/>
              <w:kinsoku/>
              <w:wordWrap/>
              <w:overflowPunct/>
              <w:topLinePunct w:val="0"/>
              <w:autoSpaceDE/>
              <w:autoSpaceDN/>
              <w:bidi w:val="0"/>
              <w:snapToGrid/>
              <w:spacing w:line="360" w:lineRule="auto"/>
              <w:ind w:right="0"/>
              <w:textAlignment w:val="auto"/>
              <w:rPr>
                <w:rFonts w:hint="default" w:ascii="Times New Roman" w:hAnsi="Times New Roman" w:eastAsia="仿宋_GB2312" w:cs="Times New Roman"/>
                <w:b/>
                <w:bCs/>
                <w:color w:val="auto"/>
                <w:sz w:val="24"/>
                <w:highlight w:val="none"/>
              </w:rPr>
            </w:pPr>
            <w:r>
              <w:rPr>
                <w:rFonts w:hint="default" w:ascii="Times New Roman" w:hAnsi="Times New Roman" w:eastAsia="仿宋_GB2312" w:cs="Times New Roman"/>
                <w:b/>
                <w:bCs/>
                <w:color w:val="auto"/>
                <w:sz w:val="24"/>
                <w:szCs w:val="32"/>
                <w:highlight w:val="none"/>
                <w:lang w:val="en-US" w:eastAsia="zh-CN"/>
              </w:rPr>
              <w:t>2、</w:t>
            </w:r>
            <w:r>
              <w:rPr>
                <w:rFonts w:hint="default" w:ascii="Times New Roman" w:hAnsi="Times New Roman" w:eastAsia="仿宋_GB2312" w:cs="Times New Roman"/>
                <w:b/>
                <w:bCs/>
                <w:color w:val="auto"/>
                <w:sz w:val="24"/>
                <w:highlight w:val="none"/>
              </w:rPr>
              <w:t>声环境保护目标</w:t>
            </w:r>
          </w:p>
          <w:p>
            <w:pPr>
              <w:pStyle w:val="17"/>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kern w:val="0"/>
                <w:sz w:val="24"/>
                <w:szCs w:val="24"/>
                <w:highlight w:val="yellow"/>
                <w:lang w:val="en-US" w:eastAsia="zh-CN" w:bidi="ar-SA"/>
              </w:rPr>
            </w:pPr>
            <w:r>
              <w:rPr>
                <w:rFonts w:hint="eastAsia" w:ascii="Times New Roman" w:hAnsi="Times New Roman" w:eastAsia="仿宋_GB2312" w:cs="Times New Roman"/>
                <w:color w:val="auto"/>
                <w:kern w:val="0"/>
                <w:sz w:val="24"/>
                <w:szCs w:val="24"/>
                <w:highlight w:val="none"/>
                <w:lang w:val="en-US" w:eastAsia="zh-CN" w:bidi="ar-SA"/>
              </w:rPr>
              <w:t>本项目50m范围内声环</w:t>
            </w:r>
            <w:r>
              <w:rPr>
                <w:rFonts w:hint="eastAsia" w:ascii="Times New Roman" w:hAnsi="Times New Roman" w:eastAsia="仿宋_GB2312" w:cs="Times New Roman"/>
                <w:color w:val="auto"/>
                <w:kern w:val="24"/>
                <w:sz w:val="24"/>
                <w:szCs w:val="24"/>
                <w:lang w:val="en-US" w:eastAsia="zh-CN" w:bidi="ar-SA"/>
              </w:rPr>
              <w:t>境保护目标如下。</w:t>
            </w:r>
          </w:p>
          <w:p>
            <w:pPr>
              <w:keepNext w:val="0"/>
              <w:keepLines w:val="0"/>
              <w:pageBreakBefore w:val="0"/>
              <w:widowControl w:val="0"/>
              <w:tabs>
                <w:tab w:val="left" w:pos="8280"/>
              </w:tabs>
              <w:kinsoku/>
              <w:wordWrap/>
              <w:overflowPunct/>
              <w:topLinePunct w:val="0"/>
              <w:bidi w:val="0"/>
              <w:spacing w:line="240" w:lineRule="auto"/>
              <w:ind w:firstLine="420" w:firstLineChars="200"/>
              <w:jc w:val="left"/>
              <w:textAlignment w:val="auto"/>
              <w:outlineLvl w:val="9"/>
              <w:rPr>
                <w:rFonts w:hint="eastAsia"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val="0"/>
                <w:bCs w:val="0"/>
                <w:color w:val="auto"/>
                <w:sz w:val="21"/>
                <w:szCs w:val="21"/>
                <w:highlight w:val="none"/>
              </w:rPr>
              <w:t>表</w:t>
            </w:r>
            <w:r>
              <w:rPr>
                <w:rFonts w:hint="eastAsia" w:cs="Times New Roman"/>
                <w:b w:val="0"/>
                <w:bCs w:val="0"/>
                <w:color w:val="auto"/>
                <w:sz w:val="21"/>
                <w:szCs w:val="21"/>
                <w:highlight w:val="none"/>
                <w:lang w:val="en-US" w:eastAsia="zh-CN"/>
              </w:rPr>
              <w:t>16</w:t>
            </w:r>
            <w:r>
              <w:rPr>
                <w:rFonts w:hint="default" w:ascii="Times New Roman" w:hAnsi="Times New Roman" w:eastAsia="宋体" w:cs="Times New Roman"/>
                <w:b w:val="0"/>
                <w:bCs w:val="0"/>
                <w:color w:val="auto"/>
                <w:sz w:val="24"/>
                <w:szCs w:val="24"/>
                <w:highlight w:val="none"/>
              </w:rPr>
              <w:t xml:space="preserve">      </w:t>
            </w:r>
            <w:r>
              <w:rPr>
                <w:rFonts w:hint="eastAsia"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rPr>
              <w:t xml:space="preserve">  </w:t>
            </w:r>
            <w:r>
              <w:rPr>
                <w:rFonts w:hint="default" w:ascii="Times New Roman" w:hAnsi="Times New Roman" w:eastAsia="宋体" w:cs="Times New Roman"/>
                <w:b/>
                <w:bCs/>
                <w:color w:val="auto"/>
                <w:sz w:val="24"/>
                <w:szCs w:val="24"/>
                <w:highlight w:val="none"/>
              </w:rPr>
              <w:t>本项目所在区域</w:t>
            </w:r>
            <w:r>
              <w:rPr>
                <w:rFonts w:hint="eastAsia" w:ascii="Times New Roman" w:hAnsi="Times New Roman" w:cs="Times New Roman"/>
                <w:b/>
                <w:bCs/>
                <w:color w:val="auto"/>
                <w:sz w:val="24"/>
                <w:szCs w:val="24"/>
                <w:highlight w:val="none"/>
                <w:lang w:val="en-US" w:eastAsia="zh-CN"/>
              </w:rPr>
              <w:t>声</w:t>
            </w:r>
            <w:r>
              <w:rPr>
                <w:rFonts w:hint="default" w:ascii="Times New Roman" w:hAnsi="Times New Roman" w:eastAsia="宋体" w:cs="Times New Roman"/>
                <w:b/>
                <w:bCs/>
                <w:color w:val="auto"/>
                <w:sz w:val="24"/>
                <w:szCs w:val="24"/>
                <w:highlight w:val="none"/>
              </w:rPr>
              <w:t>环境保护目标一览表</w:t>
            </w:r>
          </w:p>
          <w:tbl>
            <w:tblPr>
              <w:tblStyle w:val="35"/>
              <w:tblpPr w:leftFromText="180" w:rightFromText="180" w:vertAnchor="text" w:tblpXSpec="center" w:tblpY="1"/>
              <w:tblOverlap w:val="never"/>
              <w:tblW w:w="842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4"/>
              <w:gridCol w:w="1524"/>
              <w:gridCol w:w="1471"/>
              <w:gridCol w:w="1196"/>
              <w:gridCol w:w="1206"/>
              <w:gridCol w:w="825"/>
              <w:gridCol w:w="675"/>
              <w:gridCol w:w="8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24" w:type="dxa"/>
                  <w:gridSpan w:val="8"/>
                  <w:noWrap w:val="0"/>
                  <w:vAlign w:val="center"/>
                </w:tcPr>
                <w:p>
                  <w:pPr>
                    <w:adjustRightInd w:val="0"/>
                    <w:snapToGrid w:val="0"/>
                    <w:jc w:val="center"/>
                    <w:rPr>
                      <w:rFonts w:hint="default" w:ascii="Times New Roman" w:hAnsi="Times New Roman" w:cs="Times New Roman"/>
                      <w:b/>
                      <w:color w:val="auto"/>
                      <w:szCs w:val="22"/>
                      <w:highlight w:val="none"/>
                      <w:lang w:val="en-US" w:eastAsia="zh-CN"/>
                    </w:rPr>
                  </w:pPr>
                  <w:r>
                    <w:rPr>
                      <w:rFonts w:hint="eastAsia" w:cs="Times New Roman"/>
                      <w:b/>
                      <w:color w:val="auto"/>
                      <w:szCs w:val="22"/>
                      <w:highlight w:val="none"/>
                      <w:lang w:val="en-US" w:eastAsia="zh-CN"/>
                    </w:rPr>
                    <w:t>羊槽村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4"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环境要素</w:t>
                  </w:r>
                </w:p>
              </w:tc>
              <w:tc>
                <w:tcPr>
                  <w:tcW w:w="2995" w:type="dxa"/>
                  <w:gridSpan w:val="2"/>
                  <w:noWrap w:val="0"/>
                  <w:vAlign w:val="center"/>
                </w:tcPr>
                <w:p>
                  <w:pPr>
                    <w:adjustRightInd w:val="0"/>
                    <w:snapToGrid w:val="0"/>
                    <w:jc w:val="center"/>
                    <w:rPr>
                      <w:rFonts w:hint="default" w:ascii="Times New Roman" w:hAnsi="Times New Roman" w:cs="Times New Roman"/>
                      <w:b/>
                      <w:color w:val="auto"/>
                      <w:highlight w:val="none"/>
                      <w:lang w:eastAsia="zh-CN"/>
                    </w:rPr>
                  </w:pPr>
                  <w:r>
                    <w:rPr>
                      <w:rFonts w:hint="default" w:ascii="Times New Roman" w:hAnsi="Times New Roman" w:cs="Times New Roman"/>
                      <w:b/>
                      <w:color w:val="auto"/>
                      <w:highlight w:val="none"/>
                      <w:lang w:eastAsia="zh-CN"/>
                    </w:rPr>
                    <w:t>坐标</w:t>
                  </w:r>
                </w:p>
              </w:tc>
              <w:tc>
                <w:tcPr>
                  <w:tcW w:w="1196" w:type="dxa"/>
                  <w:vMerge w:val="restart"/>
                  <w:noWrap w:val="0"/>
                  <w:vAlign w:val="center"/>
                </w:tcPr>
                <w:p>
                  <w:pPr>
                    <w:adjustRightInd w:val="0"/>
                    <w:snapToGrid w:val="0"/>
                    <w:jc w:val="center"/>
                    <w:rPr>
                      <w:rFonts w:hint="default" w:ascii="Times New Roman" w:hAnsi="Times New Roman" w:cs="Times New Roman"/>
                      <w:b/>
                      <w:color w:val="auto"/>
                      <w:highlight w:val="none"/>
                      <w:lang w:eastAsia="zh-CN"/>
                    </w:rPr>
                  </w:pPr>
                  <w:r>
                    <w:rPr>
                      <w:rFonts w:hint="default" w:ascii="Times New Roman" w:hAnsi="Times New Roman" w:cs="Times New Roman"/>
                      <w:b/>
                      <w:color w:val="auto"/>
                      <w:highlight w:val="none"/>
                      <w:lang w:eastAsia="zh-CN"/>
                    </w:rPr>
                    <w:t>保护</w:t>
                  </w:r>
                </w:p>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对象</w:t>
                  </w:r>
                </w:p>
              </w:tc>
              <w:tc>
                <w:tcPr>
                  <w:tcW w:w="1206"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保护内容</w:t>
                  </w:r>
                  <w:r>
                    <w:rPr>
                      <w:rFonts w:hint="eastAsia" w:cs="Times New Roman"/>
                      <w:b/>
                      <w:color w:val="auto"/>
                      <w:highlight w:val="none"/>
                      <w:lang w:eastAsia="zh-CN"/>
                    </w:rPr>
                    <w:t>（</w:t>
                  </w:r>
                  <w:r>
                    <w:rPr>
                      <w:rFonts w:hint="eastAsia" w:cs="Times New Roman"/>
                      <w:b/>
                      <w:color w:val="auto"/>
                      <w:highlight w:val="none"/>
                      <w:lang w:val="en-US" w:eastAsia="zh-CN"/>
                    </w:rPr>
                    <w:t>人</w:t>
                  </w:r>
                  <w:r>
                    <w:rPr>
                      <w:rFonts w:hint="eastAsia" w:cs="Times New Roman"/>
                      <w:b/>
                      <w:color w:val="auto"/>
                      <w:highlight w:val="none"/>
                      <w:lang w:eastAsia="zh-CN"/>
                    </w:rPr>
                    <w:t>）</w:t>
                  </w:r>
                </w:p>
              </w:tc>
              <w:tc>
                <w:tcPr>
                  <w:tcW w:w="825"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环境功能区</w:t>
                  </w:r>
                </w:p>
              </w:tc>
              <w:tc>
                <w:tcPr>
                  <w:tcW w:w="675" w:type="dxa"/>
                  <w:vMerge w:val="restart"/>
                  <w:noWrap w:val="0"/>
                  <w:vAlign w:val="center"/>
                </w:tcPr>
                <w:p>
                  <w:pPr>
                    <w:adjustRightInd w:val="0"/>
                    <w:snapToGrid w:val="0"/>
                    <w:jc w:val="center"/>
                    <w:rPr>
                      <w:rFonts w:hint="default" w:ascii="Times New Roman" w:hAnsi="Times New Roman" w:eastAsia="仿宋" w:cs="Times New Roman"/>
                      <w:b/>
                      <w:color w:val="auto"/>
                      <w:highlight w:val="none"/>
                      <w:lang w:eastAsia="zh-CN"/>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方位</w:t>
                  </w:r>
                </w:p>
              </w:tc>
              <w:tc>
                <w:tcPr>
                  <w:tcW w:w="813" w:type="dxa"/>
                  <w:vMerge w:val="restart"/>
                  <w:noWrap w:val="0"/>
                  <w:vAlign w:val="center"/>
                </w:tcPr>
                <w:p>
                  <w:pPr>
                    <w:adjustRightInd w:val="0"/>
                    <w:snapToGrid w:val="0"/>
                    <w:jc w:val="center"/>
                    <w:rPr>
                      <w:rFonts w:hint="default" w:ascii="Times New Roman" w:hAnsi="Times New Roman" w:cs="Times New Roman"/>
                      <w:b/>
                      <w:color w:val="auto"/>
                      <w:szCs w:val="22"/>
                      <w:highlight w:val="none"/>
                      <w:lang w:eastAsia="zh-CN"/>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4" w:type="dxa"/>
                  <w:vMerge w:val="continue"/>
                  <w:noWrap w:val="0"/>
                  <w:vAlign w:val="center"/>
                </w:tcPr>
                <w:p>
                  <w:pPr>
                    <w:snapToGrid w:val="0"/>
                    <w:jc w:val="center"/>
                    <w:rPr>
                      <w:rFonts w:hint="default" w:ascii="Times New Roman" w:hAnsi="Times New Roman" w:eastAsia="宋体" w:cs="Times New Roman"/>
                      <w:color w:val="auto"/>
                      <w:highlight w:val="none"/>
                      <w:lang w:eastAsia="zh-CN"/>
                    </w:rPr>
                  </w:pPr>
                </w:p>
              </w:tc>
              <w:tc>
                <w:tcPr>
                  <w:tcW w:w="1524"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经度（E）</w:t>
                  </w:r>
                </w:p>
              </w:tc>
              <w:tc>
                <w:tcPr>
                  <w:tcW w:w="1471"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纬度（N）</w:t>
                  </w:r>
                </w:p>
              </w:tc>
              <w:tc>
                <w:tcPr>
                  <w:tcW w:w="1196" w:type="dxa"/>
                  <w:vMerge w:val="continue"/>
                  <w:noWrap w:val="0"/>
                  <w:vAlign w:val="center"/>
                </w:tcPr>
                <w:p>
                  <w:pPr>
                    <w:jc w:val="center"/>
                    <w:rPr>
                      <w:rFonts w:hint="default" w:ascii="Times New Roman" w:hAnsi="Times New Roman" w:cs="Times New Roman"/>
                      <w:color w:val="auto"/>
                      <w:highlight w:val="none"/>
                      <w:lang w:eastAsia="zh-CN"/>
                    </w:rPr>
                  </w:pPr>
                </w:p>
              </w:tc>
              <w:tc>
                <w:tcPr>
                  <w:tcW w:w="1206" w:type="dxa"/>
                  <w:vMerge w:val="continue"/>
                  <w:noWrap w:val="0"/>
                  <w:vAlign w:val="center"/>
                </w:tcPr>
                <w:p>
                  <w:pPr>
                    <w:jc w:val="center"/>
                    <w:rPr>
                      <w:rFonts w:hint="default" w:ascii="Times New Roman" w:hAnsi="Times New Roman" w:cs="Times New Roman"/>
                      <w:color w:val="auto"/>
                      <w:highlight w:val="none"/>
                      <w:lang w:val="en-US" w:eastAsia="zh-CN"/>
                    </w:rPr>
                  </w:pPr>
                </w:p>
              </w:tc>
              <w:tc>
                <w:tcPr>
                  <w:tcW w:w="825" w:type="dxa"/>
                  <w:vMerge w:val="continue"/>
                  <w:noWrap w:val="0"/>
                  <w:vAlign w:val="center"/>
                </w:tcPr>
                <w:p>
                  <w:pPr>
                    <w:jc w:val="center"/>
                    <w:rPr>
                      <w:rFonts w:hint="default" w:ascii="Times New Roman" w:hAnsi="Times New Roman" w:cs="Times New Roman"/>
                      <w:color w:val="auto"/>
                      <w:highlight w:val="none"/>
                      <w:lang w:val="en-US" w:eastAsia="zh-CN"/>
                    </w:rPr>
                  </w:pPr>
                </w:p>
              </w:tc>
              <w:tc>
                <w:tcPr>
                  <w:tcW w:w="675" w:type="dxa"/>
                  <w:vMerge w:val="continue"/>
                  <w:noWrap w:val="0"/>
                  <w:vAlign w:val="center"/>
                </w:tcPr>
                <w:p>
                  <w:pPr>
                    <w:snapToGrid w:val="0"/>
                    <w:jc w:val="center"/>
                    <w:rPr>
                      <w:rFonts w:hint="default" w:ascii="Times New Roman" w:hAnsi="Times New Roman" w:cs="Times New Roman"/>
                      <w:color w:val="auto"/>
                      <w:highlight w:val="none"/>
                      <w:lang w:val="en-US" w:eastAsia="zh-CN"/>
                    </w:rPr>
                  </w:pPr>
                </w:p>
              </w:tc>
              <w:tc>
                <w:tcPr>
                  <w:tcW w:w="813" w:type="dxa"/>
                  <w:vMerge w:val="continue"/>
                  <w:noWrap w:val="0"/>
                  <w:vAlign w:val="center"/>
                </w:tcPr>
                <w:p>
                  <w:pPr>
                    <w:snapToGrid w:val="0"/>
                    <w:jc w:val="center"/>
                    <w:rPr>
                      <w:rFonts w:hint="default" w:ascii="Times New Roman" w:hAnsi="Times New Roman" w:cs="Times New Roman"/>
                      <w:color w:val="auto"/>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noWrap w:val="0"/>
                  <w:vAlign w:val="center"/>
                </w:tcPr>
                <w:p>
                  <w:pPr>
                    <w:snapToGrid w:val="0"/>
                    <w:jc w:val="center"/>
                    <w:rPr>
                      <w:rFonts w:hint="default" w:ascii="Times New Roman" w:hAnsi="Times New Roman" w:eastAsia="宋体" w:cs="Times New Roman"/>
                      <w:color w:val="auto"/>
                      <w:highlight w:val="none"/>
                      <w:lang w:eastAsia="zh-CN"/>
                    </w:rPr>
                  </w:pPr>
                  <w:r>
                    <w:rPr>
                      <w:rFonts w:hint="eastAsia" w:ascii="Times New Roman" w:hAnsi="Times New Roman" w:cs="Times New Roman"/>
                      <w:b/>
                      <w:bCs/>
                      <w:color w:val="auto"/>
                      <w:highlight w:val="none"/>
                      <w:lang w:val="en-US" w:eastAsia="zh-CN"/>
                    </w:rPr>
                    <w:t>声</w:t>
                  </w:r>
                </w:p>
              </w:tc>
              <w:tc>
                <w:tcPr>
                  <w:tcW w:w="1524" w:type="dxa"/>
                  <w:noWrap w:val="0"/>
                  <w:vAlign w:val="center"/>
                </w:tcPr>
                <w:p>
                  <w:pPr>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106°</w:t>
                  </w:r>
                  <w:r>
                    <w:rPr>
                      <w:rFonts w:hint="eastAsia" w:cs="Times New Roman"/>
                      <w:color w:val="auto"/>
                      <w:highlight w:val="none"/>
                      <w:lang w:val="en-US" w:eastAsia="zh-CN"/>
                    </w:rPr>
                    <w:t>25</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54.47</w:t>
                  </w:r>
                  <w:r>
                    <w:rPr>
                      <w:rFonts w:hint="default" w:ascii="Times New Roman" w:hAnsi="Times New Roman" w:eastAsia="宋体" w:cs="Times New Roman"/>
                      <w:color w:val="auto"/>
                      <w:highlight w:val="none"/>
                      <w:lang w:val="en-US" w:eastAsia="zh-CN"/>
                    </w:rPr>
                    <w:t>″</w:t>
                  </w:r>
                </w:p>
              </w:tc>
              <w:tc>
                <w:tcPr>
                  <w:tcW w:w="1471" w:type="dxa"/>
                  <w:noWrap w:val="0"/>
                  <w:vAlign w:val="center"/>
                </w:tcPr>
                <w:p>
                  <w:pPr>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35°</w:t>
                  </w:r>
                  <w:r>
                    <w:rPr>
                      <w:rFonts w:hint="eastAsia" w:cs="Times New Roman"/>
                      <w:color w:val="auto"/>
                      <w:highlight w:val="none"/>
                      <w:lang w:val="en-US" w:eastAsia="zh-CN"/>
                    </w:rPr>
                    <w:t>2</w:t>
                  </w:r>
                  <w:r>
                    <w:rPr>
                      <w:rFonts w:hint="default" w:ascii="Times New Roman" w:hAnsi="Times New Roman" w:eastAsia="宋体" w:cs="Times New Roman"/>
                      <w:color w:val="auto"/>
                      <w:highlight w:val="none"/>
                      <w:lang w:val="en-US" w:eastAsia="zh-CN"/>
                    </w:rPr>
                    <w:t>9′</w:t>
                  </w:r>
                  <w:r>
                    <w:rPr>
                      <w:rFonts w:hint="eastAsia" w:cs="Times New Roman"/>
                      <w:color w:val="auto"/>
                      <w:highlight w:val="none"/>
                      <w:lang w:val="en-US" w:eastAsia="zh-CN"/>
                    </w:rPr>
                    <w:t>10.83</w:t>
                  </w:r>
                  <w:r>
                    <w:rPr>
                      <w:rFonts w:hint="default" w:ascii="Times New Roman" w:hAnsi="Times New Roman" w:eastAsia="宋体" w:cs="Times New Roman"/>
                      <w:color w:val="auto"/>
                      <w:highlight w:val="none"/>
                      <w:lang w:val="en-US" w:eastAsia="zh-CN"/>
                    </w:rPr>
                    <w:t>″</w:t>
                  </w:r>
                </w:p>
              </w:tc>
              <w:tc>
                <w:tcPr>
                  <w:tcW w:w="1196"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b w:val="0"/>
                      <w:bCs/>
                      <w:color w:val="auto"/>
                      <w:szCs w:val="22"/>
                      <w:highlight w:val="none"/>
                      <w:lang w:val="en-US" w:eastAsia="zh-CN"/>
                    </w:rPr>
                    <w:t>居民</w:t>
                  </w:r>
                </w:p>
              </w:tc>
              <w:tc>
                <w:tcPr>
                  <w:tcW w:w="1206"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80</w:t>
                  </w:r>
                </w:p>
              </w:tc>
              <w:tc>
                <w:tcPr>
                  <w:tcW w:w="825" w:type="dxa"/>
                  <w:noWrap w:val="0"/>
                  <w:vAlign w:val="center"/>
                </w:tcPr>
                <w:p>
                  <w:pPr>
                    <w:jc w:val="center"/>
                    <w:rPr>
                      <w:rFonts w:hint="eastAsia" w:ascii="Times New Roman" w:hAnsi="Times New Roman" w:cs="Times New Roman"/>
                      <w:color w:val="auto"/>
                      <w:highlight w:val="none"/>
                      <w:lang w:eastAsia="zh-CN"/>
                    </w:rPr>
                  </w:pPr>
                  <w:r>
                    <w:rPr>
                      <w:rFonts w:hint="eastAsia" w:cs="Times New Roman"/>
                      <w:color w:val="auto"/>
                      <w:sz w:val="21"/>
                      <w:szCs w:val="21"/>
                      <w:highlight w:val="none"/>
                      <w:lang w:val="en-US" w:eastAsia="zh-CN"/>
                    </w:rPr>
                    <w:t>一</w:t>
                  </w:r>
                  <w:r>
                    <w:rPr>
                      <w:rFonts w:hint="default" w:ascii="Times New Roman" w:hAnsi="Times New Roman" w:eastAsia="宋体" w:cs="Times New Roman"/>
                      <w:color w:val="auto"/>
                      <w:sz w:val="21"/>
                      <w:szCs w:val="21"/>
                      <w:highlight w:val="none"/>
                    </w:rPr>
                    <w:t>类</w:t>
                  </w:r>
                </w:p>
              </w:tc>
              <w:tc>
                <w:tcPr>
                  <w:tcW w:w="675"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N</w:t>
                  </w:r>
                </w:p>
              </w:tc>
              <w:tc>
                <w:tcPr>
                  <w:tcW w:w="813"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20m</w:t>
                  </w:r>
                </w:p>
              </w:tc>
            </w:tr>
          </w:tbl>
          <w:p>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仿宋_GB2312" w:cs="Times New Roman"/>
                <w:b/>
                <w:bCs/>
                <w:color w:val="auto"/>
                <w:sz w:val="24"/>
                <w:szCs w:val="32"/>
                <w:highlight w:val="none"/>
                <w:lang w:val="en-US" w:eastAsia="zh-CN"/>
              </w:rPr>
            </w:pPr>
            <w:r>
              <w:rPr>
                <w:rFonts w:hint="default" w:ascii="Times New Roman" w:hAnsi="Times New Roman" w:eastAsia="仿宋_GB2312" w:cs="Times New Roman"/>
                <w:b/>
                <w:bCs/>
                <w:color w:val="auto"/>
                <w:sz w:val="24"/>
                <w:szCs w:val="32"/>
                <w:highlight w:val="none"/>
                <w:lang w:val="en-US" w:eastAsia="zh-CN"/>
              </w:rPr>
              <w:t>3、大气环境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仿宋_GB2312" w:cs="Times New Roman"/>
                <w:color w:val="auto"/>
                <w:kern w:val="16"/>
                <w:sz w:val="24"/>
                <w:szCs w:val="24"/>
                <w:highlight w:val="none"/>
                <w:lang w:val="en-US" w:eastAsia="zh-CN" w:bidi="ar-SA"/>
              </w:rPr>
            </w:pPr>
            <w:r>
              <w:rPr>
                <w:rFonts w:hint="eastAsia" w:eastAsia="仿宋_GB2312" w:cs="Times New Roman"/>
                <w:color w:val="auto"/>
                <w:kern w:val="16"/>
                <w:sz w:val="24"/>
                <w:szCs w:val="24"/>
                <w:highlight w:val="none"/>
                <w:lang w:val="en-US" w:eastAsia="zh-CN" w:bidi="ar-SA"/>
              </w:rPr>
              <w:t>本项目500范围内大气环境保护目标如下。</w:t>
            </w:r>
          </w:p>
          <w:p>
            <w:pPr>
              <w:adjustRightInd w:val="0"/>
              <w:snapToGrid w:val="0"/>
              <w:ind w:firstLine="420" w:firstLineChars="200"/>
              <w:jc w:val="both"/>
              <w:rPr>
                <w:rFonts w:hint="eastAsia" w:eastAsia="宋体" w:cs="Times New Roman"/>
                <w:b w:val="0"/>
                <w:bCs/>
                <w:color w:val="auto"/>
                <w:sz w:val="24"/>
                <w:lang w:val="en-US" w:eastAsia="zh-CN"/>
              </w:rPr>
            </w:pPr>
            <w:r>
              <w:rPr>
                <w:rFonts w:hint="eastAsia" w:ascii="Times New Roman" w:hAnsi="Times New Roman" w:eastAsia="宋体" w:cs="Times New Roman"/>
                <w:b w:val="0"/>
                <w:bCs/>
                <w:snapToGrid/>
                <w:color w:val="auto"/>
                <w:kern w:val="2"/>
                <w:sz w:val="21"/>
                <w:szCs w:val="21"/>
                <w:lang w:val="en-US" w:eastAsia="zh-CN" w:bidi="ar-SA"/>
              </w:rPr>
              <w:t>表</w:t>
            </w:r>
            <w:r>
              <w:rPr>
                <w:rFonts w:hint="eastAsia" w:cs="Times New Roman"/>
                <w:b w:val="0"/>
                <w:bCs/>
                <w:snapToGrid/>
                <w:color w:val="auto"/>
                <w:kern w:val="2"/>
                <w:sz w:val="21"/>
                <w:szCs w:val="21"/>
                <w:lang w:val="en-US" w:eastAsia="zh-CN" w:bidi="ar-SA"/>
              </w:rPr>
              <w:t>17</w:t>
            </w:r>
            <w:r>
              <w:rPr>
                <w:rFonts w:hint="eastAsia" w:ascii="Times New Roman" w:hAnsi="Times New Roman" w:eastAsia="宋体" w:cs="Times New Roman"/>
                <w:b w:val="0"/>
                <w:bCs/>
                <w:snapToGrid/>
                <w:color w:val="auto"/>
                <w:kern w:val="2"/>
                <w:sz w:val="21"/>
                <w:szCs w:val="21"/>
                <w:lang w:val="en-US" w:eastAsia="zh-CN" w:bidi="ar-SA"/>
              </w:rPr>
              <w:t xml:space="preserve"> </w:t>
            </w:r>
            <w:r>
              <w:rPr>
                <w:rFonts w:hint="eastAsia" w:eastAsia="宋体" w:cs="Times New Roman"/>
                <w:b w:val="0"/>
                <w:bCs/>
                <w:color w:val="auto"/>
                <w:sz w:val="24"/>
                <w:lang w:val="en-US" w:eastAsia="zh-CN"/>
              </w:rPr>
              <w:t xml:space="preserve">                </w:t>
            </w:r>
            <w:r>
              <w:rPr>
                <w:rFonts w:hint="eastAsia" w:eastAsia="宋体" w:cs="Times New Roman"/>
                <w:b/>
                <w:bCs w:val="0"/>
                <w:color w:val="auto"/>
                <w:sz w:val="24"/>
                <w:lang w:val="en-US" w:eastAsia="zh-CN"/>
              </w:rPr>
              <w:t>大气环境保护目标一览表</w:t>
            </w:r>
          </w:p>
          <w:tbl>
            <w:tblPr>
              <w:tblStyle w:val="35"/>
              <w:tblpPr w:leftFromText="180" w:rightFromText="180" w:vertAnchor="text" w:tblpXSpec="center" w:tblpY="1"/>
              <w:tblOverlap w:val="never"/>
              <w:tblW w:w="842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4"/>
              <w:gridCol w:w="1524"/>
              <w:gridCol w:w="1471"/>
              <w:gridCol w:w="1196"/>
              <w:gridCol w:w="1206"/>
              <w:gridCol w:w="825"/>
              <w:gridCol w:w="675"/>
              <w:gridCol w:w="8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24" w:type="dxa"/>
                  <w:gridSpan w:val="8"/>
                  <w:noWrap w:val="0"/>
                  <w:vAlign w:val="center"/>
                </w:tcPr>
                <w:p>
                  <w:pPr>
                    <w:adjustRightInd w:val="0"/>
                    <w:snapToGrid w:val="0"/>
                    <w:jc w:val="center"/>
                    <w:rPr>
                      <w:rFonts w:hint="default" w:ascii="Times New Roman" w:hAnsi="Times New Roman" w:cs="Times New Roman"/>
                      <w:b/>
                      <w:color w:val="auto"/>
                      <w:szCs w:val="22"/>
                      <w:highlight w:val="none"/>
                      <w:lang w:val="en-US" w:eastAsia="zh-CN"/>
                    </w:rPr>
                  </w:pPr>
                  <w:r>
                    <w:rPr>
                      <w:rFonts w:hint="eastAsia" w:cs="Times New Roman"/>
                      <w:b/>
                      <w:color w:val="auto"/>
                      <w:szCs w:val="22"/>
                      <w:highlight w:val="none"/>
                      <w:lang w:val="en-US" w:eastAsia="zh-CN"/>
                    </w:rPr>
                    <w:t>沙塘村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4"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环境要素</w:t>
                  </w:r>
                </w:p>
              </w:tc>
              <w:tc>
                <w:tcPr>
                  <w:tcW w:w="2995" w:type="dxa"/>
                  <w:gridSpan w:val="2"/>
                  <w:noWrap w:val="0"/>
                  <w:vAlign w:val="center"/>
                </w:tcPr>
                <w:p>
                  <w:pPr>
                    <w:adjustRightInd w:val="0"/>
                    <w:snapToGrid w:val="0"/>
                    <w:jc w:val="center"/>
                    <w:rPr>
                      <w:rFonts w:hint="default" w:ascii="Times New Roman" w:hAnsi="Times New Roman" w:cs="Times New Roman"/>
                      <w:b/>
                      <w:color w:val="auto"/>
                      <w:highlight w:val="none"/>
                      <w:lang w:eastAsia="zh-CN"/>
                    </w:rPr>
                  </w:pPr>
                  <w:r>
                    <w:rPr>
                      <w:rFonts w:hint="default" w:ascii="Times New Roman" w:hAnsi="Times New Roman" w:cs="Times New Roman"/>
                      <w:b/>
                      <w:color w:val="auto"/>
                      <w:highlight w:val="none"/>
                      <w:lang w:eastAsia="zh-CN"/>
                    </w:rPr>
                    <w:t>坐标</w:t>
                  </w:r>
                </w:p>
              </w:tc>
              <w:tc>
                <w:tcPr>
                  <w:tcW w:w="1196" w:type="dxa"/>
                  <w:vMerge w:val="restart"/>
                  <w:noWrap w:val="0"/>
                  <w:vAlign w:val="center"/>
                </w:tcPr>
                <w:p>
                  <w:pPr>
                    <w:adjustRightInd w:val="0"/>
                    <w:snapToGrid w:val="0"/>
                    <w:jc w:val="center"/>
                    <w:rPr>
                      <w:rFonts w:hint="default" w:ascii="Times New Roman" w:hAnsi="Times New Roman" w:cs="Times New Roman"/>
                      <w:b/>
                      <w:color w:val="auto"/>
                      <w:highlight w:val="none"/>
                      <w:lang w:eastAsia="zh-CN"/>
                    </w:rPr>
                  </w:pPr>
                  <w:r>
                    <w:rPr>
                      <w:rFonts w:hint="default" w:ascii="Times New Roman" w:hAnsi="Times New Roman" w:cs="Times New Roman"/>
                      <w:b/>
                      <w:color w:val="auto"/>
                      <w:highlight w:val="none"/>
                      <w:lang w:eastAsia="zh-CN"/>
                    </w:rPr>
                    <w:t>保护</w:t>
                  </w:r>
                </w:p>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对象</w:t>
                  </w:r>
                </w:p>
              </w:tc>
              <w:tc>
                <w:tcPr>
                  <w:tcW w:w="1206"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保护内容</w:t>
                  </w:r>
                  <w:r>
                    <w:rPr>
                      <w:rFonts w:hint="eastAsia" w:cs="Times New Roman"/>
                      <w:b/>
                      <w:color w:val="auto"/>
                      <w:highlight w:val="none"/>
                      <w:lang w:eastAsia="zh-CN"/>
                    </w:rPr>
                    <w:t>（</w:t>
                  </w:r>
                  <w:r>
                    <w:rPr>
                      <w:rFonts w:hint="eastAsia" w:cs="Times New Roman"/>
                      <w:b/>
                      <w:color w:val="auto"/>
                      <w:highlight w:val="none"/>
                      <w:lang w:val="en-US" w:eastAsia="zh-CN"/>
                    </w:rPr>
                    <w:t>人</w:t>
                  </w:r>
                  <w:r>
                    <w:rPr>
                      <w:rFonts w:hint="eastAsia" w:cs="Times New Roman"/>
                      <w:b/>
                      <w:color w:val="auto"/>
                      <w:highlight w:val="none"/>
                      <w:lang w:eastAsia="zh-CN"/>
                    </w:rPr>
                    <w:t>）</w:t>
                  </w:r>
                </w:p>
              </w:tc>
              <w:tc>
                <w:tcPr>
                  <w:tcW w:w="825"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环境功能区</w:t>
                  </w:r>
                </w:p>
              </w:tc>
              <w:tc>
                <w:tcPr>
                  <w:tcW w:w="675" w:type="dxa"/>
                  <w:vMerge w:val="restart"/>
                  <w:noWrap w:val="0"/>
                  <w:vAlign w:val="center"/>
                </w:tcPr>
                <w:p>
                  <w:pPr>
                    <w:adjustRightInd w:val="0"/>
                    <w:snapToGrid w:val="0"/>
                    <w:jc w:val="center"/>
                    <w:rPr>
                      <w:rFonts w:hint="default" w:ascii="Times New Roman" w:hAnsi="Times New Roman" w:eastAsia="仿宋" w:cs="Times New Roman"/>
                      <w:b/>
                      <w:color w:val="auto"/>
                      <w:highlight w:val="none"/>
                      <w:lang w:eastAsia="zh-CN"/>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方位</w:t>
                  </w:r>
                </w:p>
              </w:tc>
              <w:tc>
                <w:tcPr>
                  <w:tcW w:w="813" w:type="dxa"/>
                  <w:vMerge w:val="restart"/>
                  <w:noWrap w:val="0"/>
                  <w:vAlign w:val="center"/>
                </w:tcPr>
                <w:p>
                  <w:pPr>
                    <w:adjustRightInd w:val="0"/>
                    <w:snapToGrid w:val="0"/>
                    <w:jc w:val="center"/>
                    <w:rPr>
                      <w:rFonts w:hint="default" w:ascii="Times New Roman" w:hAnsi="Times New Roman" w:cs="Times New Roman"/>
                      <w:b/>
                      <w:color w:val="auto"/>
                      <w:szCs w:val="22"/>
                      <w:highlight w:val="none"/>
                      <w:lang w:eastAsia="zh-CN"/>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4" w:type="dxa"/>
                  <w:vMerge w:val="continue"/>
                  <w:noWrap w:val="0"/>
                  <w:vAlign w:val="center"/>
                </w:tcPr>
                <w:p>
                  <w:pPr>
                    <w:snapToGrid w:val="0"/>
                    <w:jc w:val="center"/>
                    <w:rPr>
                      <w:rFonts w:hint="default" w:ascii="Times New Roman" w:hAnsi="Times New Roman" w:eastAsia="宋体" w:cs="Times New Roman"/>
                      <w:color w:val="auto"/>
                      <w:highlight w:val="none"/>
                      <w:lang w:eastAsia="zh-CN"/>
                    </w:rPr>
                  </w:pPr>
                </w:p>
              </w:tc>
              <w:tc>
                <w:tcPr>
                  <w:tcW w:w="1524"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经度（E）</w:t>
                  </w:r>
                </w:p>
              </w:tc>
              <w:tc>
                <w:tcPr>
                  <w:tcW w:w="1471"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纬度（N）</w:t>
                  </w:r>
                </w:p>
              </w:tc>
              <w:tc>
                <w:tcPr>
                  <w:tcW w:w="1196" w:type="dxa"/>
                  <w:vMerge w:val="continue"/>
                  <w:noWrap w:val="0"/>
                  <w:vAlign w:val="center"/>
                </w:tcPr>
                <w:p>
                  <w:pPr>
                    <w:jc w:val="center"/>
                    <w:rPr>
                      <w:rFonts w:hint="default" w:ascii="Times New Roman" w:hAnsi="Times New Roman" w:cs="Times New Roman"/>
                      <w:color w:val="auto"/>
                      <w:highlight w:val="none"/>
                      <w:lang w:eastAsia="zh-CN"/>
                    </w:rPr>
                  </w:pPr>
                </w:p>
              </w:tc>
              <w:tc>
                <w:tcPr>
                  <w:tcW w:w="1206" w:type="dxa"/>
                  <w:vMerge w:val="continue"/>
                  <w:noWrap w:val="0"/>
                  <w:vAlign w:val="center"/>
                </w:tcPr>
                <w:p>
                  <w:pPr>
                    <w:jc w:val="center"/>
                    <w:rPr>
                      <w:rFonts w:hint="default" w:ascii="Times New Roman" w:hAnsi="Times New Roman" w:cs="Times New Roman"/>
                      <w:color w:val="auto"/>
                      <w:highlight w:val="none"/>
                      <w:lang w:val="en-US" w:eastAsia="zh-CN"/>
                    </w:rPr>
                  </w:pPr>
                </w:p>
              </w:tc>
              <w:tc>
                <w:tcPr>
                  <w:tcW w:w="825" w:type="dxa"/>
                  <w:vMerge w:val="continue"/>
                  <w:noWrap w:val="0"/>
                  <w:vAlign w:val="center"/>
                </w:tcPr>
                <w:p>
                  <w:pPr>
                    <w:jc w:val="center"/>
                    <w:rPr>
                      <w:rFonts w:hint="default" w:ascii="Times New Roman" w:hAnsi="Times New Roman" w:cs="Times New Roman"/>
                      <w:color w:val="auto"/>
                      <w:highlight w:val="none"/>
                      <w:lang w:val="en-US" w:eastAsia="zh-CN"/>
                    </w:rPr>
                  </w:pPr>
                </w:p>
              </w:tc>
              <w:tc>
                <w:tcPr>
                  <w:tcW w:w="675" w:type="dxa"/>
                  <w:vMerge w:val="continue"/>
                  <w:noWrap w:val="0"/>
                  <w:vAlign w:val="center"/>
                </w:tcPr>
                <w:p>
                  <w:pPr>
                    <w:snapToGrid w:val="0"/>
                    <w:jc w:val="center"/>
                    <w:rPr>
                      <w:rFonts w:hint="default" w:ascii="Times New Roman" w:hAnsi="Times New Roman" w:cs="Times New Roman"/>
                      <w:color w:val="auto"/>
                      <w:highlight w:val="none"/>
                      <w:lang w:val="en-US" w:eastAsia="zh-CN"/>
                    </w:rPr>
                  </w:pPr>
                </w:p>
              </w:tc>
              <w:tc>
                <w:tcPr>
                  <w:tcW w:w="813" w:type="dxa"/>
                  <w:vMerge w:val="continue"/>
                  <w:noWrap w:val="0"/>
                  <w:vAlign w:val="center"/>
                </w:tcPr>
                <w:p>
                  <w:pPr>
                    <w:snapToGrid w:val="0"/>
                    <w:jc w:val="center"/>
                    <w:rPr>
                      <w:rFonts w:hint="default" w:ascii="Times New Roman" w:hAnsi="Times New Roman" w:cs="Times New Roman"/>
                      <w:color w:val="auto"/>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noWrap w:val="0"/>
                  <w:vAlign w:val="center"/>
                </w:tcPr>
                <w:p>
                  <w:pPr>
                    <w:snapToGrid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大气</w:t>
                  </w:r>
                </w:p>
              </w:tc>
              <w:tc>
                <w:tcPr>
                  <w:tcW w:w="1524" w:type="dxa"/>
                  <w:noWrap w:val="0"/>
                  <w:vAlign w:val="center"/>
                </w:tcPr>
                <w:p>
                  <w:pPr>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106°</w:t>
                  </w:r>
                  <w:r>
                    <w:rPr>
                      <w:rFonts w:hint="eastAsia" w:cs="Times New Roman"/>
                      <w:color w:val="auto"/>
                      <w:highlight w:val="none"/>
                      <w:lang w:val="en-US" w:eastAsia="zh-CN"/>
                    </w:rPr>
                    <w:t>26</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22.72</w:t>
                  </w:r>
                  <w:r>
                    <w:rPr>
                      <w:rFonts w:hint="default" w:ascii="Times New Roman" w:hAnsi="Times New Roman" w:eastAsia="宋体" w:cs="Times New Roman"/>
                      <w:color w:val="auto"/>
                      <w:highlight w:val="none"/>
                      <w:lang w:val="en-US" w:eastAsia="zh-CN"/>
                    </w:rPr>
                    <w:t>″</w:t>
                  </w:r>
                </w:p>
              </w:tc>
              <w:tc>
                <w:tcPr>
                  <w:tcW w:w="1471" w:type="dxa"/>
                  <w:noWrap w:val="0"/>
                  <w:vAlign w:val="center"/>
                </w:tcPr>
                <w:p>
                  <w:pPr>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35°3</w:t>
                  </w:r>
                  <w:r>
                    <w:rPr>
                      <w:rFonts w:hint="eastAsia" w:cs="Times New Roman"/>
                      <w:color w:val="auto"/>
                      <w:highlight w:val="none"/>
                      <w:lang w:val="en-US" w:eastAsia="zh-CN"/>
                    </w:rPr>
                    <w:t>4</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55.55</w:t>
                  </w:r>
                  <w:r>
                    <w:rPr>
                      <w:rFonts w:hint="default" w:ascii="Times New Roman" w:hAnsi="Times New Roman" w:eastAsia="宋体" w:cs="Times New Roman"/>
                      <w:color w:val="auto"/>
                      <w:highlight w:val="none"/>
                      <w:lang w:val="en-US" w:eastAsia="zh-CN"/>
                    </w:rPr>
                    <w:t>″</w:t>
                  </w:r>
                </w:p>
              </w:tc>
              <w:tc>
                <w:tcPr>
                  <w:tcW w:w="1196"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居民</w:t>
                  </w:r>
                </w:p>
              </w:tc>
              <w:tc>
                <w:tcPr>
                  <w:tcW w:w="1206"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200</w:t>
                  </w:r>
                </w:p>
              </w:tc>
              <w:tc>
                <w:tcPr>
                  <w:tcW w:w="825" w:type="dxa"/>
                  <w:noWrap w:val="0"/>
                  <w:vAlign w:val="center"/>
                </w:tcPr>
                <w:p>
                  <w:pPr>
                    <w:jc w:val="center"/>
                    <w:rPr>
                      <w:rFonts w:hint="eastAsia" w:ascii="Times New Roman" w:hAnsi="Times New Roman" w:cs="Times New Roman"/>
                      <w:color w:val="auto"/>
                      <w:highlight w:val="none"/>
                      <w:lang w:eastAsia="zh-CN"/>
                    </w:rPr>
                  </w:pPr>
                  <w:r>
                    <w:rPr>
                      <w:rFonts w:hint="eastAsia" w:ascii="Times New Roman" w:hAnsi="Times New Roman" w:cs="Times New Roman"/>
                      <w:color w:val="auto"/>
                      <w:sz w:val="21"/>
                      <w:szCs w:val="21"/>
                      <w:highlight w:val="none"/>
                      <w:lang w:eastAsia="zh-CN"/>
                    </w:rPr>
                    <w:t>二</w:t>
                  </w:r>
                  <w:r>
                    <w:rPr>
                      <w:rFonts w:hint="default" w:ascii="Times New Roman" w:hAnsi="Times New Roman" w:eastAsia="宋体" w:cs="Times New Roman"/>
                      <w:color w:val="auto"/>
                      <w:sz w:val="21"/>
                      <w:szCs w:val="21"/>
                      <w:highlight w:val="none"/>
                    </w:rPr>
                    <w:t>类</w:t>
                  </w:r>
                </w:p>
              </w:tc>
              <w:tc>
                <w:tcPr>
                  <w:tcW w:w="675"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E</w:t>
                  </w:r>
                </w:p>
              </w:tc>
              <w:tc>
                <w:tcPr>
                  <w:tcW w:w="813"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210m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8424" w:type="dxa"/>
                  <w:gridSpan w:val="8"/>
                  <w:shd w:val="clear" w:color="auto" w:fill="auto"/>
                  <w:noWrap w:val="0"/>
                  <w:vAlign w:val="center"/>
                </w:tcPr>
                <w:p>
                  <w:pPr>
                    <w:adjustRightInd w:val="0"/>
                    <w:snapToGrid w:val="0"/>
                    <w:jc w:val="center"/>
                    <w:rPr>
                      <w:rFonts w:hint="default" w:ascii="Times New Roman" w:hAnsi="Times New Roman" w:eastAsia="宋体" w:cs="Times New Roman"/>
                      <w:b/>
                      <w:color w:val="auto"/>
                      <w:kern w:val="2"/>
                      <w:sz w:val="21"/>
                      <w:szCs w:val="22"/>
                      <w:highlight w:val="none"/>
                      <w:lang w:val="en-US" w:eastAsia="zh-CN" w:bidi="ar-SA"/>
                    </w:rPr>
                  </w:pPr>
                  <w:r>
                    <w:rPr>
                      <w:rFonts w:hint="eastAsia" w:cs="Times New Roman"/>
                      <w:b/>
                      <w:color w:val="auto"/>
                      <w:szCs w:val="22"/>
                      <w:highlight w:val="none"/>
                      <w:lang w:val="en-US" w:eastAsia="zh-CN"/>
                    </w:rPr>
                    <w:t>羊槽村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vMerge w:val="restart"/>
                  <w:shd w:val="clear" w:color="auto" w:fill="auto"/>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环境要素</w:t>
                  </w:r>
                </w:p>
              </w:tc>
              <w:tc>
                <w:tcPr>
                  <w:tcW w:w="2995" w:type="dxa"/>
                  <w:gridSpan w:val="2"/>
                  <w:shd w:val="clear" w:color="auto" w:fill="auto"/>
                  <w:noWrap w:val="0"/>
                  <w:vAlign w:val="center"/>
                </w:tcPr>
                <w:p>
                  <w:pPr>
                    <w:adjustRightInd w:val="0"/>
                    <w:snapToGrid w:val="0"/>
                    <w:jc w:val="center"/>
                    <w:rPr>
                      <w:rFonts w:hint="default"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坐标</w:t>
                  </w:r>
                </w:p>
              </w:tc>
              <w:tc>
                <w:tcPr>
                  <w:tcW w:w="1196" w:type="dxa"/>
                  <w:vMerge w:val="restart"/>
                  <w:shd w:val="clear" w:color="auto" w:fill="auto"/>
                  <w:noWrap w:val="0"/>
                  <w:vAlign w:val="center"/>
                </w:tcPr>
                <w:p>
                  <w:pPr>
                    <w:adjustRightInd w:val="0"/>
                    <w:snapToGrid w:val="0"/>
                    <w:jc w:val="center"/>
                    <w:rPr>
                      <w:rFonts w:hint="default" w:ascii="Times New Roman" w:hAnsi="Times New Roman" w:cs="Times New Roman"/>
                      <w:b/>
                      <w:color w:val="auto"/>
                      <w:highlight w:val="none"/>
                      <w:lang w:eastAsia="zh-CN"/>
                    </w:rPr>
                  </w:pPr>
                  <w:r>
                    <w:rPr>
                      <w:rFonts w:hint="default" w:ascii="Times New Roman" w:hAnsi="Times New Roman" w:cs="Times New Roman"/>
                      <w:b/>
                      <w:color w:val="auto"/>
                      <w:highlight w:val="none"/>
                      <w:lang w:eastAsia="zh-CN"/>
                    </w:rPr>
                    <w:t>保护</w:t>
                  </w:r>
                </w:p>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对象</w:t>
                  </w:r>
                </w:p>
              </w:tc>
              <w:tc>
                <w:tcPr>
                  <w:tcW w:w="1206" w:type="dxa"/>
                  <w:vMerge w:val="restart"/>
                  <w:shd w:val="clear" w:color="auto" w:fill="auto"/>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保护内容</w:t>
                  </w:r>
                  <w:r>
                    <w:rPr>
                      <w:rFonts w:hint="eastAsia" w:cs="Times New Roman"/>
                      <w:b/>
                      <w:color w:val="auto"/>
                      <w:highlight w:val="none"/>
                      <w:lang w:eastAsia="zh-CN"/>
                    </w:rPr>
                    <w:t>（</w:t>
                  </w:r>
                  <w:r>
                    <w:rPr>
                      <w:rFonts w:hint="eastAsia" w:cs="Times New Roman"/>
                      <w:b/>
                      <w:color w:val="auto"/>
                      <w:highlight w:val="none"/>
                      <w:lang w:val="en-US" w:eastAsia="zh-CN"/>
                    </w:rPr>
                    <w:t>人</w:t>
                  </w:r>
                  <w:r>
                    <w:rPr>
                      <w:rFonts w:hint="eastAsia" w:cs="Times New Roman"/>
                      <w:b/>
                      <w:color w:val="auto"/>
                      <w:highlight w:val="none"/>
                      <w:lang w:eastAsia="zh-CN"/>
                    </w:rPr>
                    <w:t>）</w:t>
                  </w:r>
                </w:p>
              </w:tc>
              <w:tc>
                <w:tcPr>
                  <w:tcW w:w="825" w:type="dxa"/>
                  <w:vMerge w:val="restart"/>
                  <w:shd w:val="clear" w:color="auto" w:fill="auto"/>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环境功能区</w:t>
                  </w:r>
                </w:p>
              </w:tc>
              <w:tc>
                <w:tcPr>
                  <w:tcW w:w="675" w:type="dxa"/>
                  <w:vMerge w:val="restart"/>
                  <w:shd w:val="clear" w:color="auto" w:fill="auto"/>
                  <w:noWrap w:val="0"/>
                  <w:vAlign w:val="center"/>
                </w:tcPr>
                <w:p>
                  <w:pPr>
                    <w:adjustRightInd w:val="0"/>
                    <w:snapToGrid w:val="0"/>
                    <w:jc w:val="center"/>
                    <w:rPr>
                      <w:rFonts w:hint="default" w:ascii="Times New Roman" w:hAnsi="Times New Roman" w:eastAsia="仿宋" w:cs="Times New Roman"/>
                      <w:b/>
                      <w:color w:val="auto"/>
                      <w:highlight w:val="none"/>
                      <w:lang w:eastAsia="zh-CN"/>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方位</w:t>
                  </w:r>
                </w:p>
              </w:tc>
              <w:tc>
                <w:tcPr>
                  <w:tcW w:w="813" w:type="dxa"/>
                  <w:vMerge w:val="restart"/>
                  <w:shd w:val="clear" w:color="auto" w:fill="auto"/>
                  <w:noWrap w:val="0"/>
                  <w:vAlign w:val="center"/>
                </w:tcPr>
                <w:p>
                  <w:pPr>
                    <w:adjustRightInd w:val="0"/>
                    <w:snapToGrid w:val="0"/>
                    <w:jc w:val="center"/>
                    <w:rPr>
                      <w:rFonts w:hint="default" w:ascii="Times New Roman" w:hAnsi="Times New Roman" w:cs="Times New Roman"/>
                      <w:b/>
                      <w:color w:val="auto"/>
                      <w:szCs w:val="22"/>
                      <w:highlight w:val="none"/>
                      <w:lang w:eastAsia="zh-CN"/>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4" w:type="dxa"/>
                  <w:vMerge w:val="continue"/>
                  <w:noWrap w:val="0"/>
                  <w:vAlign w:val="center"/>
                </w:tcPr>
                <w:p>
                  <w:pPr>
                    <w:snapToGrid w:val="0"/>
                    <w:jc w:val="center"/>
                    <w:rPr>
                      <w:rFonts w:hint="default" w:ascii="Times New Roman" w:hAnsi="Times New Roman" w:eastAsia="宋体" w:cs="Times New Roman"/>
                      <w:color w:val="auto"/>
                      <w:highlight w:val="none"/>
                      <w:lang w:eastAsia="zh-CN"/>
                    </w:rPr>
                  </w:pPr>
                </w:p>
              </w:tc>
              <w:tc>
                <w:tcPr>
                  <w:tcW w:w="1524" w:type="dxa"/>
                  <w:shd w:val="clear" w:color="auto" w:fill="auto"/>
                  <w:noWrap w:val="0"/>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经度（E）</w:t>
                  </w:r>
                </w:p>
              </w:tc>
              <w:tc>
                <w:tcPr>
                  <w:tcW w:w="1471" w:type="dxa"/>
                  <w:shd w:val="clear" w:color="auto" w:fill="auto"/>
                  <w:noWrap w:val="0"/>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纬度（N）</w:t>
                  </w:r>
                </w:p>
              </w:tc>
              <w:tc>
                <w:tcPr>
                  <w:tcW w:w="1196" w:type="dxa"/>
                  <w:vMerge w:val="continue"/>
                  <w:noWrap w:val="0"/>
                  <w:vAlign w:val="center"/>
                </w:tcPr>
                <w:p>
                  <w:pPr>
                    <w:jc w:val="center"/>
                    <w:rPr>
                      <w:rFonts w:hint="default" w:ascii="Times New Roman" w:hAnsi="Times New Roman" w:cs="Times New Roman"/>
                      <w:color w:val="auto"/>
                      <w:highlight w:val="none"/>
                      <w:lang w:eastAsia="zh-CN"/>
                    </w:rPr>
                  </w:pPr>
                </w:p>
              </w:tc>
              <w:tc>
                <w:tcPr>
                  <w:tcW w:w="1206" w:type="dxa"/>
                  <w:vMerge w:val="continue"/>
                  <w:noWrap w:val="0"/>
                  <w:vAlign w:val="center"/>
                </w:tcPr>
                <w:p>
                  <w:pPr>
                    <w:jc w:val="center"/>
                    <w:rPr>
                      <w:rFonts w:hint="default" w:ascii="Times New Roman" w:hAnsi="Times New Roman" w:cs="Times New Roman"/>
                      <w:color w:val="auto"/>
                      <w:highlight w:val="none"/>
                      <w:lang w:val="en-US" w:eastAsia="zh-CN"/>
                    </w:rPr>
                  </w:pPr>
                </w:p>
              </w:tc>
              <w:tc>
                <w:tcPr>
                  <w:tcW w:w="825" w:type="dxa"/>
                  <w:vMerge w:val="continue"/>
                  <w:noWrap w:val="0"/>
                  <w:vAlign w:val="center"/>
                </w:tcPr>
                <w:p>
                  <w:pPr>
                    <w:jc w:val="center"/>
                    <w:rPr>
                      <w:rFonts w:hint="default" w:ascii="Times New Roman" w:hAnsi="Times New Roman" w:cs="Times New Roman"/>
                      <w:color w:val="auto"/>
                      <w:highlight w:val="none"/>
                      <w:lang w:val="en-US" w:eastAsia="zh-CN"/>
                    </w:rPr>
                  </w:pPr>
                </w:p>
              </w:tc>
              <w:tc>
                <w:tcPr>
                  <w:tcW w:w="675" w:type="dxa"/>
                  <w:vMerge w:val="continue"/>
                  <w:noWrap w:val="0"/>
                  <w:vAlign w:val="center"/>
                </w:tcPr>
                <w:p>
                  <w:pPr>
                    <w:snapToGrid w:val="0"/>
                    <w:jc w:val="center"/>
                    <w:rPr>
                      <w:rFonts w:hint="default" w:ascii="Times New Roman" w:hAnsi="Times New Roman" w:cs="Times New Roman"/>
                      <w:color w:val="auto"/>
                      <w:highlight w:val="none"/>
                      <w:lang w:val="en-US" w:eastAsia="zh-CN"/>
                    </w:rPr>
                  </w:pPr>
                </w:p>
              </w:tc>
              <w:tc>
                <w:tcPr>
                  <w:tcW w:w="813" w:type="dxa"/>
                  <w:vMerge w:val="continue"/>
                  <w:noWrap w:val="0"/>
                  <w:vAlign w:val="center"/>
                </w:tcPr>
                <w:p>
                  <w:pPr>
                    <w:snapToGrid w:val="0"/>
                    <w:jc w:val="center"/>
                    <w:rPr>
                      <w:rFonts w:hint="default" w:ascii="Times New Roman" w:hAnsi="Times New Roman" w:cs="Times New Roman"/>
                      <w:color w:val="auto"/>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4" w:type="dxa"/>
                  <w:shd w:val="clear" w:color="auto" w:fill="auto"/>
                  <w:noWrap w:val="0"/>
                  <w:vAlign w:val="center"/>
                </w:tcPr>
                <w:p>
                  <w:pPr>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大气</w:t>
                  </w:r>
                </w:p>
              </w:tc>
              <w:tc>
                <w:tcPr>
                  <w:tcW w:w="1524" w:type="dxa"/>
                  <w:shd w:val="clear" w:color="auto" w:fill="auto"/>
                  <w:noWrap w:val="0"/>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106°</w:t>
                  </w:r>
                  <w:r>
                    <w:rPr>
                      <w:rFonts w:hint="eastAsia" w:cs="Times New Roman"/>
                      <w:color w:val="auto"/>
                      <w:highlight w:val="none"/>
                      <w:lang w:val="en-US" w:eastAsia="zh-CN"/>
                    </w:rPr>
                    <w:t>25</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54.47</w:t>
                  </w:r>
                  <w:r>
                    <w:rPr>
                      <w:rFonts w:hint="default" w:ascii="Times New Roman" w:hAnsi="Times New Roman" w:eastAsia="宋体" w:cs="Times New Roman"/>
                      <w:color w:val="auto"/>
                      <w:highlight w:val="none"/>
                      <w:lang w:val="en-US" w:eastAsia="zh-CN"/>
                    </w:rPr>
                    <w:t>″</w:t>
                  </w:r>
                </w:p>
              </w:tc>
              <w:tc>
                <w:tcPr>
                  <w:tcW w:w="1471" w:type="dxa"/>
                  <w:shd w:val="clear" w:color="auto" w:fill="auto"/>
                  <w:noWrap w:val="0"/>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35°</w:t>
                  </w:r>
                  <w:r>
                    <w:rPr>
                      <w:rFonts w:hint="eastAsia" w:cs="Times New Roman"/>
                      <w:color w:val="auto"/>
                      <w:highlight w:val="none"/>
                      <w:lang w:val="en-US" w:eastAsia="zh-CN"/>
                    </w:rPr>
                    <w:t>2</w:t>
                  </w:r>
                  <w:r>
                    <w:rPr>
                      <w:rFonts w:hint="default" w:ascii="Times New Roman" w:hAnsi="Times New Roman" w:eastAsia="宋体" w:cs="Times New Roman"/>
                      <w:color w:val="auto"/>
                      <w:highlight w:val="none"/>
                      <w:lang w:val="en-US" w:eastAsia="zh-CN"/>
                    </w:rPr>
                    <w:t>9′</w:t>
                  </w:r>
                  <w:r>
                    <w:rPr>
                      <w:rFonts w:hint="eastAsia" w:cs="Times New Roman"/>
                      <w:color w:val="auto"/>
                      <w:highlight w:val="none"/>
                      <w:lang w:val="en-US" w:eastAsia="zh-CN"/>
                    </w:rPr>
                    <w:t>10.83</w:t>
                  </w:r>
                  <w:r>
                    <w:rPr>
                      <w:rFonts w:hint="default" w:ascii="Times New Roman" w:hAnsi="Times New Roman" w:eastAsia="宋体" w:cs="Times New Roman"/>
                      <w:color w:val="auto"/>
                      <w:highlight w:val="none"/>
                      <w:lang w:val="en-US" w:eastAsia="zh-CN"/>
                    </w:rPr>
                    <w:t>″</w:t>
                  </w:r>
                </w:p>
              </w:tc>
              <w:tc>
                <w:tcPr>
                  <w:tcW w:w="1196" w:type="dxa"/>
                  <w:shd w:val="clear" w:color="auto" w:fill="auto"/>
                  <w:noWrap w:val="0"/>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b w:val="0"/>
                      <w:bCs/>
                      <w:color w:val="auto"/>
                      <w:szCs w:val="22"/>
                      <w:highlight w:val="none"/>
                      <w:lang w:val="en-US" w:eastAsia="zh-CN"/>
                    </w:rPr>
                    <w:t>居民</w:t>
                  </w:r>
                </w:p>
              </w:tc>
              <w:tc>
                <w:tcPr>
                  <w:tcW w:w="1206" w:type="dxa"/>
                  <w:shd w:val="clear" w:color="auto" w:fill="auto"/>
                  <w:noWrap w:val="0"/>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500</w:t>
                  </w:r>
                </w:p>
              </w:tc>
              <w:tc>
                <w:tcPr>
                  <w:tcW w:w="825" w:type="dxa"/>
                  <w:shd w:val="clear" w:color="auto" w:fill="auto"/>
                  <w:noWrap w:val="0"/>
                  <w:vAlign w:val="center"/>
                </w:tcPr>
                <w:p>
                  <w:pPr>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sz w:val="21"/>
                      <w:szCs w:val="21"/>
                      <w:highlight w:val="none"/>
                      <w:lang w:val="en-US" w:eastAsia="zh-CN"/>
                    </w:rPr>
                    <w:t>二</w:t>
                  </w:r>
                  <w:r>
                    <w:rPr>
                      <w:rFonts w:hint="default" w:ascii="Times New Roman" w:hAnsi="Times New Roman" w:eastAsia="宋体" w:cs="Times New Roman"/>
                      <w:color w:val="auto"/>
                      <w:sz w:val="21"/>
                      <w:szCs w:val="21"/>
                      <w:highlight w:val="none"/>
                    </w:rPr>
                    <w:t>类</w:t>
                  </w:r>
                </w:p>
              </w:tc>
              <w:tc>
                <w:tcPr>
                  <w:tcW w:w="675" w:type="dxa"/>
                  <w:shd w:val="clear" w:color="auto" w:fill="auto"/>
                  <w:noWrap w:val="0"/>
                  <w:vAlign w:val="center"/>
                </w:tcPr>
                <w:p>
                  <w:pPr>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N</w:t>
                  </w:r>
                </w:p>
              </w:tc>
              <w:tc>
                <w:tcPr>
                  <w:tcW w:w="813" w:type="dxa"/>
                  <w:shd w:val="clear" w:color="auto" w:fill="auto"/>
                  <w:noWrap w:val="0"/>
                  <w:vAlign w:val="center"/>
                </w:tcPr>
                <w:p>
                  <w:pPr>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20m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24" w:type="dxa"/>
                  <w:gridSpan w:val="8"/>
                  <w:noWrap w:val="0"/>
                  <w:vAlign w:val="center"/>
                </w:tcPr>
                <w:p>
                  <w:pPr>
                    <w:adjustRightInd w:val="0"/>
                    <w:snapToGrid w:val="0"/>
                    <w:jc w:val="center"/>
                    <w:rPr>
                      <w:rFonts w:hint="default" w:ascii="Times New Roman" w:hAnsi="Times New Roman" w:cs="Times New Roman"/>
                      <w:b/>
                      <w:color w:val="auto"/>
                      <w:szCs w:val="22"/>
                      <w:highlight w:val="none"/>
                      <w:lang w:val="en-US" w:eastAsia="zh-CN"/>
                    </w:rPr>
                  </w:pPr>
                  <w:r>
                    <w:rPr>
                      <w:rFonts w:hint="eastAsia" w:cs="Times New Roman"/>
                      <w:b/>
                      <w:color w:val="auto"/>
                      <w:szCs w:val="22"/>
                      <w:highlight w:val="none"/>
                      <w:lang w:val="en-US" w:eastAsia="zh-CN"/>
                    </w:rPr>
                    <w:t>张家台子村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4"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环境要素</w:t>
                  </w:r>
                </w:p>
              </w:tc>
              <w:tc>
                <w:tcPr>
                  <w:tcW w:w="2995" w:type="dxa"/>
                  <w:gridSpan w:val="2"/>
                  <w:noWrap w:val="0"/>
                  <w:vAlign w:val="center"/>
                </w:tcPr>
                <w:p>
                  <w:pPr>
                    <w:adjustRightInd w:val="0"/>
                    <w:snapToGrid w:val="0"/>
                    <w:jc w:val="center"/>
                    <w:rPr>
                      <w:rFonts w:hint="default" w:ascii="Times New Roman" w:hAnsi="Times New Roman" w:cs="Times New Roman"/>
                      <w:b/>
                      <w:color w:val="auto"/>
                      <w:highlight w:val="none"/>
                      <w:lang w:eastAsia="zh-CN"/>
                    </w:rPr>
                  </w:pPr>
                  <w:r>
                    <w:rPr>
                      <w:rFonts w:hint="default" w:ascii="Times New Roman" w:hAnsi="Times New Roman" w:cs="Times New Roman"/>
                      <w:b/>
                      <w:color w:val="auto"/>
                      <w:highlight w:val="none"/>
                      <w:lang w:eastAsia="zh-CN"/>
                    </w:rPr>
                    <w:t>坐标</w:t>
                  </w:r>
                </w:p>
              </w:tc>
              <w:tc>
                <w:tcPr>
                  <w:tcW w:w="1196"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保护对象</w:t>
                  </w:r>
                </w:p>
              </w:tc>
              <w:tc>
                <w:tcPr>
                  <w:tcW w:w="1206"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保护内容</w:t>
                  </w:r>
                  <w:r>
                    <w:rPr>
                      <w:rFonts w:hint="eastAsia" w:cs="Times New Roman"/>
                      <w:b/>
                      <w:color w:val="auto"/>
                      <w:highlight w:val="none"/>
                      <w:lang w:eastAsia="zh-CN"/>
                    </w:rPr>
                    <w:t>（</w:t>
                  </w:r>
                  <w:r>
                    <w:rPr>
                      <w:rFonts w:hint="eastAsia" w:cs="Times New Roman"/>
                      <w:b/>
                      <w:color w:val="auto"/>
                      <w:highlight w:val="none"/>
                      <w:lang w:val="en-US" w:eastAsia="zh-CN"/>
                    </w:rPr>
                    <w:t>人</w:t>
                  </w:r>
                  <w:r>
                    <w:rPr>
                      <w:rFonts w:hint="eastAsia" w:cs="Times New Roman"/>
                      <w:b/>
                      <w:color w:val="auto"/>
                      <w:highlight w:val="none"/>
                      <w:lang w:eastAsia="zh-CN"/>
                    </w:rPr>
                    <w:t>）</w:t>
                  </w:r>
                </w:p>
              </w:tc>
              <w:tc>
                <w:tcPr>
                  <w:tcW w:w="825"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环境功能区</w:t>
                  </w:r>
                </w:p>
              </w:tc>
              <w:tc>
                <w:tcPr>
                  <w:tcW w:w="675" w:type="dxa"/>
                  <w:vMerge w:val="restart"/>
                  <w:noWrap w:val="0"/>
                  <w:vAlign w:val="center"/>
                </w:tcPr>
                <w:p>
                  <w:pPr>
                    <w:adjustRightInd w:val="0"/>
                    <w:snapToGrid w:val="0"/>
                    <w:jc w:val="center"/>
                    <w:rPr>
                      <w:rFonts w:hint="default" w:ascii="Times New Roman" w:hAnsi="Times New Roman" w:eastAsia="仿宋" w:cs="Times New Roman"/>
                      <w:b/>
                      <w:color w:val="auto"/>
                      <w:highlight w:val="none"/>
                      <w:lang w:eastAsia="zh-CN"/>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方位</w:t>
                  </w:r>
                </w:p>
              </w:tc>
              <w:tc>
                <w:tcPr>
                  <w:tcW w:w="813" w:type="dxa"/>
                  <w:vMerge w:val="restart"/>
                  <w:noWrap w:val="0"/>
                  <w:vAlign w:val="center"/>
                </w:tcPr>
                <w:p>
                  <w:pPr>
                    <w:adjustRightInd w:val="0"/>
                    <w:snapToGrid w:val="0"/>
                    <w:jc w:val="center"/>
                    <w:rPr>
                      <w:rFonts w:hint="default" w:ascii="Times New Roman" w:hAnsi="Times New Roman" w:cs="Times New Roman"/>
                      <w:b/>
                      <w:color w:val="auto"/>
                      <w:szCs w:val="22"/>
                      <w:highlight w:val="none"/>
                      <w:lang w:eastAsia="zh-CN"/>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4" w:type="dxa"/>
                  <w:vMerge w:val="continue"/>
                  <w:noWrap w:val="0"/>
                  <w:vAlign w:val="center"/>
                </w:tcPr>
                <w:p>
                  <w:pPr>
                    <w:snapToGrid w:val="0"/>
                    <w:jc w:val="center"/>
                    <w:rPr>
                      <w:rFonts w:hint="default" w:ascii="Times New Roman" w:hAnsi="Times New Roman" w:eastAsia="宋体" w:cs="Times New Roman"/>
                      <w:color w:val="auto"/>
                      <w:highlight w:val="none"/>
                      <w:lang w:eastAsia="zh-CN"/>
                    </w:rPr>
                  </w:pPr>
                </w:p>
              </w:tc>
              <w:tc>
                <w:tcPr>
                  <w:tcW w:w="1524"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经度（E）</w:t>
                  </w:r>
                </w:p>
              </w:tc>
              <w:tc>
                <w:tcPr>
                  <w:tcW w:w="1471"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纬度（N）</w:t>
                  </w:r>
                </w:p>
              </w:tc>
              <w:tc>
                <w:tcPr>
                  <w:tcW w:w="1196" w:type="dxa"/>
                  <w:vMerge w:val="continue"/>
                  <w:noWrap w:val="0"/>
                  <w:vAlign w:val="center"/>
                </w:tcPr>
                <w:p>
                  <w:pPr>
                    <w:jc w:val="center"/>
                    <w:rPr>
                      <w:rFonts w:hint="default" w:ascii="Times New Roman" w:hAnsi="Times New Roman" w:cs="Times New Roman"/>
                      <w:color w:val="auto"/>
                      <w:highlight w:val="none"/>
                      <w:lang w:eastAsia="zh-CN"/>
                    </w:rPr>
                  </w:pPr>
                </w:p>
              </w:tc>
              <w:tc>
                <w:tcPr>
                  <w:tcW w:w="1206" w:type="dxa"/>
                  <w:vMerge w:val="continue"/>
                  <w:noWrap w:val="0"/>
                  <w:vAlign w:val="center"/>
                </w:tcPr>
                <w:p>
                  <w:pPr>
                    <w:jc w:val="center"/>
                    <w:rPr>
                      <w:rFonts w:hint="default" w:ascii="Times New Roman" w:hAnsi="Times New Roman" w:cs="Times New Roman"/>
                      <w:color w:val="auto"/>
                      <w:highlight w:val="none"/>
                      <w:lang w:val="en-US" w:eastAsia="zh-CN"/>
                    </w:rPr>
                  </w:pPr>
                </w:p>
              </w:tc>
              <w:tc>
                <w:tcPr>
                  <w:tcW w:w="825" w:type="dxa"/>
                  <w:vMerge w:val="continue"/>
                  <w:noWrap w:val="0"/>
                  <w:vAlign w:val="center"/>
                </w:tcPr>
                <w:p>
                  <w:pPr>
                    <w:jc w:val="center"/>
                    <w:rPr>
                      <w:rFonts w:hint="default" w:ascii="Times New Roman" w:hAnsi="Times New Roman" w:cs="Times New Roman"/>
                      <w:color w:val="auto"/>
                      <w:highlight w:val="none"/>
                      <w:lang w:val="en-US" w:eastAsia="zh-CN"/>
                    </w:rPr>
                  </w:pPr>
                </w:p>
              </w:tc>
              <w:tc>
                <w:tcPr>
                  <w:tcW w:w="675" w:type="dxa"/>
                  <w:vMerge w:val="continue"/>
                  <w:noWrap w:val="0"/>
                  <w:vAlign w:val="center"/>
                </w:tcPr>
                <w:p>
                  <w:pPr>
                    <w:snapToGrid w:val="0"/>
                    <w:jc w:val="center"/>
                    <w:rPr>
                      <w:rFonts w:hint="default" w:ascii="Times New Roman" w:hAnsi="Times New Roman" w:cs="Times New Roman"/>
                      <w:color w:val="auto"/>
                      <w:highlight w:val="none"/>
                      <w:lang w:val="en-US" w:eastAsia="zh-CN"/>
                    </w:rPr>
                  </w:pPr>
                </w:p>
              </w:tc>
              <w:tc>
                <w:tcPr>
                  <w:tcW w:w="813" w:type="dxa"/>
                  <w:vMerge w:val="continue"/>
                  <w:noWrap w:val="0"/>
                  <w:vAlign w:val="center"/>
                </w:tcPr>
                <w:p>
                  <w:pPr>
                    <w:snapToGrid w:val="0"/>
                    <w:jc w:val="center"/>
                    <w:rPr>
                      <w:rFonts w:hint="default" w:ascii="Times New Roman" w:hAnsi="Times New Roman" w:cs="Times New Roman"/>
                      <w:color w:val="auto"/>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noWrap w:val="0"/>
                  <w:vAlign w:val="center"/>
                </w:tcPr>
                <w:p>
                  <w:pPr>
                    <w:snapToGrid w:val="0"/>
                    <w:jc w:val="center"/>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大气</w:t>
                  </w:r>
                </w:p>
              </w:tc>
              <w:tc>
                <w:tcPr>
                  <w:tcW w:w="1524" w:type="dxa"/>
                  <w:noWrap w:val="0"/>
                  <w:vAlign w:val="center"/>
                </w:tcPr>
                <w:p>
                  <w:pPr>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106°</w:t>
                  </w:r>
                  <w:r>
                    <w:rPr>
                      <w:rFonts w:hint="eastAsia" w:cs="Times New Roman"/>
                      <w:color w:val="auto"/>
                      <w:highlight w:val="none"/>
                      <w:lang w:val="en-US" w:eastAsia="zh-CN"/>
                    </w:rPr>
                    <w:t>27</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23.78</w:t>
                  </w:r>
                  <w:r>
                    <w:rPr>
                      <w:rFonts w:hint="default" w:ascii="Times New Roman" w:hAnsi="Times New Roman" w:eastAsia="宋体" w:cs="Times New Roman"/>
                      <w:color w:val="auto"/>
                      <w:highlight w:val="none"/>
                      <w:lang w:val="en-US" w:eastAsia="zh-CN"/>
                    </w:rPr>
                    <w:t>″</w:t>
                  </w:r>
                </w:p>
              </w:tc>
              <w:tc>
                <w:tcPr>
                  <w:tcW w:w="1471" w:type="dxa"/>
                  <w:noWrap w:val="0"/>
                  <w:vAlign w:val="center"/>
                </w:tcPr>
                <w:p>
                  <w:pPr>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35°</w:t>
                  </w:r>
                  <w:r>
                    <w:rPr>
                      <w:rFonts w:hint="eastAsia" w:cs="Times New Roman"/>
                      <w:color w:val="auto"/>
                      <w:highlight w:val="none"/>
                      <w:lang w:val="en-US" w:eastAsia="zh-CN"/>
                    </w:rPr>
                    <w:t>21</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7.74</w:t>
                  </w:r>
                  <w:r>
                    <w:rPr>
                      <w:rFonts w:hint="default" w:ascii="Times New Roman" w:hAnsi="Times New Roman" w:eastAsia="宋体" w:cs="Times New Roman"/>
                      <w:color w:val="auto"/>
                      <w:highlight w:val="none"/>
                      <w:lang w:val="en-US" w:eastAsia="zh-CN"/>
                    </w:rPr>
                    <w:t>″</w:t>
                  </w:r>
                </w:p>
              </w:tc>
              <w:tc>
                <w:tcPr>
                  <w:tcW w:w="1196"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居民</w:t>
                  </w:r>
                </w:p>
              </w:tc>
              <w:tc>
                <w:tcPr>
                  <w:tcW w:w="1206"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50</w:t>
                  </w:r>
                </w:p>
              </w:tc>
              <w:tc>
                <w:tcPr>
                  <w:tcW w:w="825" w:type="dxa"/>
                  <w:noWrap w:val="0"/>
                  <w:vAlign w:val="center"/>
                </w:tcPr>
                <w:p>
                  <w:pPr>
                    <w:jc w:val="center"/>
                    <w:rPr>
                      <w:rFonts w:hint="eastAsia" w:ascii="Times New Roman" w:hAnsi="Times New Roman" w:cs="Times New Roman"/>
                      <w:color w:val="auto"/>
                      <w:highlight w:val="none"/>
                      <w:lang w:eastAsia="zh-CN"/>
                    </w:rPr>
                  </w:pPr>
                  <w:r>
                    <w:rPr>
                      <w:rFonts w:hint="eastAsia" w:ascii="Times New Roman" w:hAnsi="Times New Roman" w:cs="Times New Roman"/>
                      <w:color w:val="auto"/>
                      <w:sz w:val="21"/>
                      <w:szCs w:val="21"/>
                      <w:highlight w:val="none"/>
                      <w:lang w:eastAsia="zh-CN"/>
                    </w:rPr>
                    <w:t>二</w:t>
                  </w:r>
                  <w:r>
                    <w:rPr>
                      <w:rFonts w:hint="default" w:ascii="Times New Roman" w:hAnsi="Times New Roman" w:eastAsia="宋体" w:cs="Times New Roman"/>
                      <w:color w:val="auto"/>
                      <w:sz w:val="21"/>
                      <w:szCs w:val="21"/>
                      <w:highlight w:val="none"/>
                    </w:rPr>
                    <w:t>类</w:t>
                  </w:r>
                </w:p>
              </w:tc>
              <w:tc>
                <w:tcPr>
                  <w:tcW w:w="675"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E</w:t>
                  </w:r>
                </w:p>
              </w:tc>
              <w:tc>
                <w:tcPr>
                  <w:tcW w:w="813"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391m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24" w:type="dxa"/>
                  <w:gridSpan w:val="8"/>
                  <w:noWrap w:val="0"/>
                  <w:vAlign w:val="center"/>
                </w:tcPr>
                <w:p>
                  <w:pPr>
                    <w:adjustRightInd w:val="0"/>
                    <w:snapToGrid w:val="0"/>
                    <w:jc w:val="center"/>
                    <w:rPr>
                      <w:rFonts w:hint="default" w:ascii="Times New Roman" w:hAnsi="Times New Roman" w:cs="Times New Roman"/>
                      <w:b/>
                      <w:color w:val="auto"/>
                      <w:szCs w:val="22"/>
                      <w:highlight w:val="none"/>
                      <w:lang w:val="en-US" w:eastAsia="zh-CN"/>
                    </w:rPr>
                  </w:pPr>
                  <w:r>
                    <w:rPr>
                      <w:rFonts w:hint="eastAsia" w:cs="Times New Roman"/>
                      <w:b/>
                      <w:color w:val="auto"/>
                      <w:szCs w:val="22"/>
                      <w:highlight w:val="none"/>
                      <w:lang w:val="en-US" w:eastAsia="zh-CN"/>
                    </w:rPr>
                    <w:t>窑湾村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714"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环境要素</w:t>
                  </w:r>
                </w:p>
              </w:tc>
              <w:tc>
                <w:tcPr>
                  <w:tcW w:w="2995" w:type="dxa"/>
                  <w:gridSpan w:val="2"/>
                  <w:noWrap w:val="0"/>
                  <w:vAlign w:val="center"/>
                </w:tcPr>
                <w:p>
                  <w:pPr>
                    <w:adjustRightInd w:val="0"/>
                    <w:snapToGrid w:val="0"/>
                    <w:jc w:val="center"/>
                    <w:rPr>
                      <w:rFonts w:hint="default" w:ascii="Times New Roman" w:hAnsi="Times New Roman" w:cs="Times New Roman"/>
                      <w:b/>
                      <w:color w:val="auto"/>
                      <w:highlight w:val="none"/>
                      <w:lang w:eastAsia="zh-CN"/>
                    </w:rPr>
                  </w:pPr>
                  <w:r>
                    <w:rPr>
                      <w:rFonts w:hint="default" w:ascii="Times New Roman" w:hAnsi="Times New Roman" w:cs="Times New Roman"/>
                      <w:b/>
                      <w:color w:val="auto"/>
                      <w:highlight w:val="none"/>
                      <w:lang w:eastAsia="zh-CN"/>
                    </w:rPr>
                    <w:t>坐标</w:t>
                  </w:r>
                </w:p>
              </w:tc>
              <w:tc>
                <w:tcPr>
                  <w:tcW w:w="1196"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保护对象</w:t>
                  </w:r>
                </w:p>
              </w:tc>
              <w:tc>
                <w:tcPr>
                  <w:tcW w:w="1206"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保护内容</w:t>
                  </w:r>
                  <w:r>
                    <w:rPr>
                      <w:rFonts w:hint="eastAsia" w:cs="Times New Roman"/>
                      <w:b/>
                      <w:color w:val="auto"/>
                      <w:highlight w:val="none"/>
                      <w:lang w:eastAsia="zh-CN"/>
                    </w:rPr>
                    <w:t>（</w:t>
                  </w:r>
                  <w:r>
                    <w:rPr>
                      <w:rFonts w:hint="eastAsia" w:cs="Times New Roman"/>
                      <w:b/>
                      <w:color w:val="auto"/>
                      <w:highlight w:val="none"/>
                      <w:lang w:val="en-US" w:eastAsia="zh-CN"/>
                    </w:rPr>
                    <w:t>人</w:t>
                  </w:r>
                  <w:r>
                    <w:rPr>
                      <w:rFonts w:hint="eastAsia" w:cs="Times New Roman"/>
                      <w:b/>
                      <w:color w:val="auto"/>
                      <w:highlight w:val="none"/>
                      <w:lang w:eastAsia="zh-CN"/>
                    </w:rPr>
                    <w:t>）</w:t>
                  </w:r>
                </w:p>
              </w:tc>
              <w:tc>
                <w:tcPr>
                  <w:tcW w:w="825"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环境功能区</w:t>
                  </w:r>
                </w:p>
              </w:tc>
              <w:tc>
                <w:tcPr>
                  <w:tcW w:w="675" w:type="dxa"/>
                  <w:vMerge w:val="restart"/>
                  <w:noWrap w:val="0"/>
                  <w:vAlign w:val="center"/>
                </w:tcPr>
                <w:p>
                  <w:pPr>
                    <w:adjustRightInd w:val="0"/>
                    <w:snapToGrid w:val="0"/>
                    <w:jc w:val="center"/>
                    <w:rPr>
                      <w:rFonts w:hint="default" w:ascii="Times New Roman" w:hAnsi="Times New Roman" w:eastAsia="仿宋" w:cs="Times New Roman"/>
                      <w:b/>
                      <w:color w:val="auto"/>
                      <w:highlight w:val="none"/>
                      <w:lang w:eastAsia="zh-CN"/>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方位</w:t>
                  </w:r>
                </w:p>
              </w:tc>
              <w:tc>
                <w:tcPr>
                  <w:tcW w:w="813" w:type="dxa"/>
                  <w:vMerge w:val="restart"/>
                  <w:noWrap w:val="0"/>
                  <w:vAlign w:val="center"/>
                </w:tcPr>
                <w:p>
                  <w:pPr>
                    <w:adjustRightInd w:val="0"/>
                    <w:snapToGrid w:val="0"/>
                    <w:jc w:val="center"/>
                    <w:rPr>
                      <w:rFonts w:hint="default" w:ascii="Times New Roman" w:hAnsi="Times New Roman" w:cs="Times New Roman"/>
                      <w:b/>
                      <w:color w:val="auto"/>
                      <w:szCs w:val="22"/>
                      <w:highlight w:val="none"/>
                      <w:lang w:eastAsia="zh-CN"/>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4" w:type="dxa"/>
                  <w:vMerge w:val="continue"/>
                  <w:noWrap w:val="0"/>
                  <w:vAlign w:val="center"/>
                </w:tcPr>
                <w:p>
                  <w:pPr>
                    <w:snapToGrid w:val="0"/>
                    <w:jc w:val="center"/>
                    <w:rPr>
                      <w:rFonts w:hint="default" w:ascii="Times New Roman" w:hAnsi="Times New Roman" w:eastAsia="宋体" w:cs="Times New Roman"/>
                      <w:color w:val="auto"/>
                      <w:highlight w:val="none"/>
                      <w:lang w:eastAsia="zh-CN"/>
                    </w:rPr>
                  </w:pPr>
                </w:p>
              </w:tc>
              <w:tc>
                <w:tcPr>
                  <w:tcW w:w="1524"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经度（E）</w:t>
                  </w:r>
                </w:p>
              </w:tc>
              <w:tc>
                <w:tcPr>
                  <w:tcW w:w="1471"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纬度（N）</w:t>
                  </w:r>
                </w:p>
              </w:tc>
              <w:tc>
                <w:tcPr>
                  <w:tcW w:w="1196" w:type="dxa"/>
                  <w:vMerge w:val="continue"/>
                  <w:noWrap w:val="0"/>
                  <w:vAlign w:val="center"/>
                </w:tcPr>
                <w:p>
                  <w:pPr>
                    <w:jc w:val="center"/>
                    <w:rPr>
                      <w:rFonts w:hint="default" w:ascii="Times New Roman" w:hAnsi="Times New Roman" w:cs="Times New Roman"/>
                      <w:color w:val="auto"/>
                      <w:highlight w:val="none"/>
                      <w:lang w:eastAsia="zh-CN"/>
                    </w:rPr>
                  </w:pPr>
                </w:p>
              </w:tc>
              <w:tc>
                <w:tcPr>
                  <w:tcW w:w="1206" w:type="dxa"/>
                  <w:vMerge w:val="continue"/>
                  <w:noWrap w:val="0"/>
                  <w:vAlign w:val="center"/>
                </w:tcPr>
                <w:p>
                  <w:pPr>
                    <w:jc w:val="center"/>
                    <w:rPr>
                      <w:rFonts w:hint="default" w:ascii="Times New Roman" w:hAnsi="Times New Roman" w:cs="Times New Roman"/>
                      <w:color w:val="auto"/>
                      <w:highlight w:val="none"/>
                      <w:lang w:val="en-US" w:eastAsia="zh-CN"/>
                    </w:rPr>
                  </w:pPr>
                </w:p>
              </w:tc>
              <w:tc>
                <w:tcPr>
                  <w:tcW w:w="825" w:type="dxa"/>
                  <w:vMerge w:val="continue"/>
                  <w:noWrap w:val="0"/>
                  <w:vAlign w:val="center"/>
                </w:tcPr>
                <w:p>
                  <w:pPr>
                    <w:jc w:val="center"/>
                    <w:rPr>
                      <w:rFonts w:hint="default" w:ascii="Times New Roman" w:hAnsi="Times New Roman" w:cs="Times New Roman"/>
                      <w:color w:val="auto"/>
                      <w:highlight w:val="none"/>
                      <w:lang w:val="en-US" w:eastAsia="zh-CN"/>
                    </w:rPr>
                  </w:pPr>
                </w:p>
              </w:tc>
              <w:tc>
                <w:tcPr>
                  <w:tcW w:w="675" w:type="dxa"/>
                  <w:vMerge w:val="continue"/>
                  <w:noWrap w:val="0"/>
                  <w:vAlign w:val="center"/>
                </w:tcPr>
                <w:p>
                  <w:pPr>
                    <w:snapToGrid w:val="0"/>
                    <w:jc w:val="center"/>
                    <w:rPr>
                      <w:rFonts w:hint="default" w:ascii="Times New Roman" w:hAnsi="Times New Roman" w:cs="Times New Roman"/>
                      <w:color w:val="auto"/>
                      <w:highlight w:val="none"/>
                      <w:lang w:val="en-US" w:eastAsia="zh-CN"/>
                    </w:rPr>
                  </w:pPr>
                </w:p>
              </w:tc>
              <w:tc>
                <w:tcPr>
                  <w:tcW w:w="813" w:type="dxa"/>
                  <w:vMerge w:val="continue"/>
                  <w:noWrap w:val="0"/>
                  <w:vAlign w:val="center"/>
                </w:tcPr>
                <w:p>
                  <w:pPr>
                    <w:snapToGrid w:val="0"/>
                    <w:jc w:val="center"/>
                    <w:rPr>
                      <w:rFonts w:hint="default" w:ascii="Times New Roman" w:hAnsi="Times New Roman" w:cs="Times New Roman"/>
                      <w:color w:val="auto"/>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noWrap w:val="0"/>
                  <w:vAlign w:val="center"/>
                </w:tcPr>
                <w:p>
                  <w:pPr>
                    <w:snapToGrid w:val="0"/>
                    <w:jc w:val="center"/>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大气</w:t>
                  </w:r>
                </w:p>
              </w:tc>
              <w:tc>
                <w:tcPr>
                  <w:tcW w:w="1524" w:type="dxa"/>
                  <w:shd w:val="clear" w:color="auto" w:fill="auto"/>
                  <w:noWrap w:val="0"/>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106°</w:t>
                  </w:r>
                  <w:r>
                    <w:rPr>
                      <w:rFonts w:hint="eastAsia" w:cs="Times New Roman"/>
                      <w:color w:val="auto"/>
                      <w:highlight w:val="none"/>
                      <w:lang w:val="en-US" w:eastAsia="zh-CN"/>
                    </w:rPr>
                    <w:t>26</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39.77</w:t>
                  </w:r>
                  <w:r>
                    <w:rPr>
                      <w:rFonts w:hint="default" w:ascii="Times New Roman" w:hAnsi="Times New Roman" w:eastAsia="宋体" w:cs="Times New Roman"/>
                      <w:color w:val="auto"/>
                      <w:highlight w:val="none"/>
                      <w:lang w:val="en-US" w:eastAsia="zh-CN"/>
                    </w:rPr>
                    <w:t>″</w:t>
                  </w:r>
                </w:p>
              </w:tc>
              <w:tc>
                <w:tcPr>
                  <w:tcW w:w="1471" w:type="dxa"/>
                  <w:shd w:val="clear" w:color="auto" w:fill="auto"/>
                  <w:noWrap w:val="0"/>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35°</w:t>
                  </w:r>
                  <w:r>
                    <w:rPr>
                      <w:rFonts w:hint="eastAsia" w:cs="Times New Roman"/>
                      <w:color w:val="auto"/>
                      <w:highlight w:val="none"/>
                      <w:lang w:val="en-US" w:eastAsia="zh-CN"/>
                    </w:rPr>
                    <w:t>21</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7.87</w:t>
                  </w:r>
                  <w:r>
                    <w:rPr>
                      <w:rFonts w:hint="default" w:ascii="Times New Roman" w:hAnsi="Times New Roman" w:eastAsia="宋体" w:cs="Times New Roman"/>
                      <w:color w:val="auto"/>
                      <w:highlight w:val="none"/>
                      <w:lang w:val="en-US" w:eastAsia="zh-CN"/>
                    </w:rPr>
                    <w:t>″</w:t>
                  </w:r>
                </w:p>
              </w:tc>
              <w:tc>
                <w:tcPr>
                  <w:tcW w:w="1196"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b w:val="0"/>
                      <w:bCs/>
                      <w:color w:val="auto"/>
                      <w:szCs w:val="22"/>
                      <w:highlight w:val="none"/>
                      <w:lang w:val="en-US" w:eastAsia="zh-CN"/>
                    </w:rPr>
                    <w:t>居民</w:t>
                  </w:r>
                </w:p>
              </w:tc>
              <w:tc>
                <w:tcPr>
                  <w:tcW w:w="1206"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20</w:t>
                  </w:r>
                </w:p>
              </w:tc>
              <w:tc>
                <w:tcPr>
                  <w:tcW w:w="825" w:type="dxa"/>
                  <w:noWrap w:val="0"/>
                  <w:vAlign w:val="center"/>
                </w:tcPr>
                <w:p>
                  <w:pPr>
                    <w:jc w:val="center"/>
                    <w:rPr>
                      <w:rFonts w:hint="eastAsia" w:ascii="Times New Roman" w:hAnsi="Times New Roman" w:cs="Times New Roman"/>
                      <w:color w:val="auto"/>
                      <w:highlight w:val="none"/>
                      <w:lang w:eastAsia="zh-CN"/>
                    </w:rPr>
                  </w:pPr>
                  <w:r>
                    <w:rPr>
                      <w:rFonts w:hint="eastAsia" w:ascii="Times New Roman" w:hAnsi="Times New Roman" w:cs="Times New Roman"/>
                      <w:color w:val="auto"/>
                      <w:sz w:val="21"/>
                      <w:szCs w:val="21"/>
                      <w:highlight w:val="none"/>
                      <w:lang w:eastAsia="zh-CN"/>
                    </w:rPr>
                    <w:t>二</w:t>
                  </w:r>
                  <w:r>
                    <w:rPr>
                      <w:rFonts w:hint="default" w:ascii="Times New Roman" w:hAnsi="Times New Roman" w:eastAsia="宋体" w:cs="Times New Roman"/>
                      <w:color w:val="auto"/>
                      <w:sz w:val="21"/>
                      <w:szCs w:val="21"/>
                      <w:highlight w:val="none"/>
                    </w:rPr>
                    <w:t>类</w:t>
                  </w:r>
                </w:p>
              </w:tc>
              <w:tc>
                <w:tcPr>
                  <w:tcW w:w="675"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W</w:t>
                  </w:r>
                </w:p>
              </w:tc>
              <w:tc>
                <w:tcPr>
                  <w:tcW w:w="813"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400m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24" w:type="dxa"/>
                  <w:gridSpan w:val="8"/>
                  <w:shd w:val="clear" w:color="auto" w:fill="auto"/>
                  <w:noWrap w:val="0"/>
                  <w:vAlign w:val="center"/>
                </w:tcPr>
                <w:p>
                  <w:pPr>
                    <w:snapToGrid w:val="0"/>
                    <w:jc w:val="center"/>
                    <w:rPr>
                      <w:rFonts w:hint="eastAsia" w:cs="Times New Roman"/>
                      <w:color w:val="auto"/>
                      <w:highlight w:val="none"/>
                      <w:lang w:val="en-US" w:eastAsia="zh-CN"/>
                    </w:rPr>
                  </w:pPr>
                  <w:r>
                    <w:rPr>
                      <w:rFonts w:hint="eastAsia" w:cs="Times New Roman"/>
                      <w:b/>
                      <w:color w:val="auto"/>
                      <w:szCs w:val="22"/>
                      <w:highlight w:val="none"/>
                      <w:lang w:val="en-US" w:eastAsia="zh-CN"/>
                    </w:rPr>
                    <w:t>董庄村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环境要素</w:t>
                  </w:r>
                </w:p>
              </w:tc>
              <w:tc>
                <w:tcPr>
                  <w:tcW w:w="2995" w:type="dxa"/>
                  <w:gridSpan w:val="2"/>
                  <w:shd w:val="clear" w:color="auto" w:fill="auto"/>
                  <w:vAlign w:val="center"/>
                </w:tcPr>
                <w:p>
                  <w:pPr>
                    <w:adjustRightInd w:val="0"/>
                    <w:snapToGrid w:val="0"/>
                    <w:jc w:val="center"/>
                    <w:rPr>
                      <w:rFonts w:hint="default"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坐标</w:t>
                  </w:r>
                </w:p>
              </w:tc>
              <w:tc>
                <w:tcPr>
                  <w:tcW w:w="1196" w:type="dxa"/>
                  <w:vMerge w:val="restart"/>
                  <w:shd w:val="clear" w:color="auto" w:fill="auto"/>
                  <w:vAlign w:val="center"/>
                </w:tcPr>
                <w:p>
                  <w:pPr>
                    <w:adjustRightInd w:val="0"/>
                    <w:snapToGrid w:val="0"/>
                    <w:jc w:val="center"/>
                    <w:rPr>
                      <w:rFonts w:hint="default" w:ascii="Times New Roman" w:hAnsi="Times New Roman" w:cs="Times New Roman"/>
                      <w:b/>
                      <w:color w:val="auto"/>
                      <w:highlight w:val="none"/>
                      <w:lang w:eastAsia="zh-CN"/>
                    </w:rPr>
                  </w:pPr>
                  <w:r>
                    <w:rPr>
                      <w:rFonts w:hint="default" w:ascii="Times New Roman" w:hAnsi="Times New Roman" w:cs="Times New Roman"/>
                      <w:b/>
                      <w:color w:val="auto"/>
                      <w:highlight w:val="none"/>
                      <w:lang w:eastAsia="zh-CN"/>
                    </w:rPr>
                    <w:t>保护</w:t>
                  </w:r>
                </w:p>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对象</w:t>
                  </w:r>
                </w:p>
              </w:tc>
              <w:tc>
                <w:tcPr>
                  <w:tcW w:w="1206"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保护内容</w:t>
                  </w:r>
                  <w:r>
                    <w:rPr>
                      <w:rFonts w:hint="eastAsia" w:cs="Times New Roman"/>
                      <w:b/>
                      <w:color w:val="auto"/>
                      <w:highlight w:val="none"/>
                      <w:lang w:eastAsia="zh-CN"/>
                    </w:rPr>
                    <w:t>（</w:t>
                  </w:r>
                  <w:r>
                    <w:rPr>
                      <w:rFonts w:hint="eastAsia" w:cs="Times New Roman"/>
                      <w:b/>
                      <w:color w:val="auto"/>
                      <w:highlight w:val="none"/>
                      <w:lang w:val="en-US" w:eastAsia="zh-CN"/>
                    </w:rPr>
                    <w:t>人</w:t>
                  </w:r>
                  <w:r>
                    <w:rPr>
                      <w:rFonts w:hint="eastAsia" w:cs="Times New Roman"/>
                      <w:b/>
                      <w:color w:val="auto"/>
                      <w:highlight w:val="none"/>
                      <w:lang w:eastAsia="zh-CN"/>
                    </w:rPr>
                    <w:t>）</w:t>
                  </w:r>
                </w:p>
              </w:tc>
              <w:tc>
                <w:tcPr>
                  <w:tcW w:w="825"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环境功能区</w:t>
                  </w:r>
                </w:p>
              </w:tc>
              <w:tc>
                <w:tcPr>
                  <w:tcW w:w="675" w:type="dxa"/>
                  <w:vMerge w:val="restart"/>
                  <w:shd w:val="clear" w:color="auto" w:fill="auto"/>
                  <w:vAlign w:val="center"/>
                </w:tcPr>
                <w:p>
                  <w:pPr>
                    <w:adjustRightInd w:val="0"/>
                    <w:snapToGrid w:val="0"/>
                    <w:jc w:val="center"/>
                    <w:rPr>
                      <w:rFonts w:hint="eastAsia" w:ascii="Times New Roman" w:hAnsi="Times New Roman" w:eastAsia="仿宋" w:cs="Times New Roman"/>
                      <w:b/>
                      <w:color w:val="auto"/>
                      <w:kern w:val="2"/>
                      <w:sz w:val="21"/>
                      <w:szCs w:val="24"/>
                      <w:highlight w:val="none"/>
                      <w:lang w:val="en-US" w:eastAsia="zh-CN" w:bidi="ar-SA"/>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方位</w:t>
                  </w:r>
                </w:p>
              </w:tc>
              <w:tc>
                <w:tcPr>
                  <w:tcW w:w="813"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2"/>
                      <w:highlight w:val="none"/>
                      <w:lang w:val="en-US" w:eastAsia="zh-CN" w:bidi="ar-SA"/>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vMerge w:val="continue"/>
                </w:tcPr>
                <w:p>
                  <w:pPr>
                    <w:snapToGrid w:val="0"/>
                    <w:jc w:val="center"/>
                    <w:rPr>
                      <w:rFonts w:hint="eastAsia" w:ascii="Times New Roman" w:hAnsi="Times New Roman" w:eastAsia="宋体" w:cs="Times New Roman"/>
                      <w:color w:val="auto"/>
                      <w:highlight w:val="none"/>
                      <w:lang w:val="en-US" w:eastAsia="zh-CN"/>
                    </w:rPr>
                  </w:pP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经度（E）</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纬度（N）</w:t>
                  </w:r>
                </w:p>
              </w:tc>
              <w:tc>
                <w:tcPr>
                  <w:tcW w:w="1196" w:type="dxa"/>
                  <w:vMerge w:val="continue"/>
                </w:tcPr>
                <w:p>
                  <w:pPr>
                    <w:jc w:val="center"/>
                    <w:rPr>
                      <w:rFonts w:hint="eastAsia" w:cs="Times New Roman"/>
                      <w:b w:val="0"/>
                      <w:bCs/>
                      <w:color w:val="auto"/>
                      <w:szCs w:val="22"/>
                      <w:highlight w:val="none"/>
                      <w:lang w:val="en-US" w:eastAsia="zh-CN"/>
                    </w:rPr>
                  </w:pPr>
                </w:p>
              </w:tc>
              <w:tc>
                <w:tcPr>
                  <w:tcW w:w="1206" w:type="dxa"/>
                  <w:vMerge w:val="continue"/>
                </w:tcPr>
                <w:p>
                  <w:pPr>
                    <w:jc w:val="center"/>
                    <w:rPr>
                      <w:rFonts w:hint="eastAsia" w:cs="Times New Roman"/>
                      <w:color w:val="auto"/>
                      <w:highlight w:val="none"/>
                      <w:lang w:val="en-US" w:eastAsia="zh-CN"/>
                    </w:rPr>
                  </w:pPr>
                </w:p>
              </w:tc>
              <w:tc>
                <w:tcPr>
                  <w:tcW w:w="825" w:type="dxa"/>
                  <w:vMerge w:val="continue"/>
                </w:tcPr>
                <w:p>
                  <w:pPr>
                    <w:jc w:val="center"/>
                    <w:rPr>
                      <w:rFonts w:hint="eastAsia" w:ascii="Times New Roman" w:hAnsi="Times New Roman" w:cs="Times New Roman"/>
                      <w:color w:val="auto"/>
                      <w:sz w:val="21"/>
                      <w:szCs w:val="21"/>
                      <w:highlight w:val="none"/>
                      <w:lang w:eastAsia="zh-CN"/>
                    </w:rPr>
                  </w:pPr>
                </w:p>
              </w:tc>
              <w:tc>
                <w:tcPr>
                  <w:tcW w:w="675" w:type="dxa"/>
                  <w:vMerge w:val="continue"/>
                </w:tcPr>
                <w:p>
                  <w:pPr>
                    <w:snapToGrid w:val="0"/>
                    <w:jc w:val="center"/>
                    <w:rPr>
                      <w:rFonts w:hint="eastAsia" w:cs="Times New Roman"/>
                      <w:color w:val="auto"/>
                      <w:highlight w:val="none"/>
                      <w:lang w:val="en-US" w:eastAsia="zh-CN"/>
                    </w:rPr>
                  </w:pPr>
                </w:p>
              </w:tc>
              <w:tc>
                <w:tcPr>
                  <w:tcW w:w="813" w:type="dxa"/>
                  <w:vMerge w:val="continue"/>
                </w:tcPr>
                <w:p>
                  <w:pPr>
                    <w:snapToGrid w:val="0"/>
                    <w:jc w:val="center"/>
                    <w:rPr>
                      <w:rFonts w:hint="eastAsia" w:cs="Times New Roman"/>
                      <w:color w:val="auto"/>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shd w:val="clear" w:color="auto" w:fill="auto"/>
                  <w:vAlign w:val="center"/>
                </w:tcPr>
                <w:p>
                  <w:pPr>
                    <w:snapToGrid w:val="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cs="Times New Roman"/>
                      <w:b/>
                      <w:bCs/>
                      <w:color w:val="auto"/>
                      <w:highlight w:val="none"/>
                      <w:lang w:val="en-US" w:eastAsia="zh-CN"/>
                    </w:rPr>
                    <w:t>大气</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106°1</w:t>
                  </w:r>
                  <w:r>
                    <w:rPr>
                      <w:rFonts w:hint="eastAsia" w:cs="Times New Roman"/>
                      <w:color w:val="auto"/>
                      <w:highlight w:val="none"/>
                      <w:lang w:val="en-US" w:eastAsia="zh-CN"/>
                    </w:rPr>
                    <w:t>7</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33.64</w:t>
                  </w:r>
                  <w:r>
                    <w:rPr>
                      <w:rFonts w:hint="default" w:ascii="Times New Roman" w:hAnsi="Times New Roman" w:eastAsia="宋体" w:cs="Times New Roman"/>
                      <w:color w:val="auto"/>
                      <w:highlight w:val="none"/>
                      <w:lang w:val="en-US" w:eastAsia="zh-CN"/>
                    </w:rPr>
                    <w:t>″</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35°</w:t>
                  </w:r>
                  <w:r>
                    <w:rPr>
                      <w:rFonts w:hint="eastAsia" w:ascii="Times New Roman" w:hAnsi="Times New Roman" w:eastAsia="宋体" w:cs="Times New Roman"/>
                      <w:color w:val="auto"/>
                      <w:highlight w:val="none"/>
                      <w:lang w:val="en-US" w:eastAsia="zh-CN"/>
                    </w:rPr>
                    <w:t>34</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15.79</w:t>
                  </w:r>
                  <w:r>
                    <w:rPr>
                      <w:rFonts w:hint="default" w:ascii="Times New Roman" w:hAnsi="Times New Roman" w:eastAsia="宋体" w:cs="Times New Roman"/>
                      <w:color w:val="auto"/>
                      <w:highlight w:val="none"/>
                      <w:lang w:val="en-US" w:eastAsia="zh-CN"/>
                    </w:rPr>
                    <w:t>″</w:t>
                  </w:r>
                </w:p>
              </w:tc>
              <w:tc>
                <w:tcPr>
                  <w:tcW w:w="0" w:type="auto"/>
                  <w:shd w:val="clear" w:color="auto" w:fill="auto"/>
                  <w:vAlign w:val="center"/>
                </w:tcPr>
                <w:p>
                  <w:pPr>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居民</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约200</w:t>
                  </w:r>
                </w:p>
              </w:tc>
              <w:tc>
                <w:tcPr>
                  <w:tcW w:w="0" w:type="auto"/>
                  <w:shd w:val="clear" w:color="auto" w:fill="auto"/>
                  <w:vAlign w:val="center"/>
                </w:tcPr>
                <w:p>
                  <w:pPr>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sz w:val="21"/>
                      <w:szCs w:val="21"/>
                      <w:highlight w:val="none"/>
                      <w:lang w:val="en-US" w:eastAsia="zh-CN"/>
                    </w:rPr>
                    <w:t>二</w:t>
                  </w:r>
                  <w:r>
                    <w:rPr>
                      <w:rFonts w:hint="default" w:ascii="Times New Roman" w:hAnsi="Times New Roman" w:eastAsia="宋体" w:cs="Times New Roman"/>
                      <w:color w:val="auto"/>
                      <w:sz w:val="21"/>
                      <w:szCs w:val="21"/>
                      <w:highlight w:val="none"/>
                    </w:rPr>
                    <w:t>类</w:t>
                  </w:r>
                </w:p>
              </w:tc>
              <w:tc>
                <w:tcPr>
                  <w:tcW w:w="0" w:type="auto"/>
                  <w:shd w:val="clear" w:color="auto" w:fill="auto"/>
                  <w:vAlign w:val="center"/>
                </w:tcPr>
                <w:p>
                  <w:pPr>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W/E</w:t>
                  </w:r>
                </w:p>
              </w:tc>
              <w:tc>
                <w:tcPr>
                  <w:tcW w:w="0" w:type="auto"/>
                  <w:shd w:val="clear" w:color="auto" w:fill="auto"/>
                  <w:vAlign w:val="center"/>
                </w:tcPr>
                <w:p>
                  <w:pPr>
                    <w:snapToGrid w:val="0"/>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180m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24" w:type="dxa"/>
                  <w:gridSpan w:val="8"/>
                  <w:shd w:val="clear" w:color="auto" w:fill="auto"/>
                  <w:vAlign w:val="center"/>
                </w:tcPr>
                <w:p>
                  <w:pPr>
                    <w:snapToGrid w:val="0"/>
                    <w:jc w:val="center"/>
                    <w:rPr>
                      <w:rFonts w:hint="default" w:cs="Times New Roman"/>
                      <w:color w:val="auto"/>
                      <w:highlight w:val="none"/>
                      <w:lang w:val="en-US" w:eastAsia="zh-CN"/>
                    </w:rPr>
                  </w:pPr>
                  <w:r>
                    <w:rPr>
                      <w:rFonts w:hint="eastAsia" w:cs="Times New Roman"/>
                      <w:b/>
                      <w:color w:val="auto"/>
                      <w:szCs w:val="22"/>
                      <w:highlight w:val="none"/>
                      <w:lang w:val="en-US" w:eastAsia="zh-CN"/>
                    </w:rPr>
                    <w:t>卡子村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环境要素</w:t>
                  </w:r>
                </w:p>
              </w:tc>
              <w:tc>
                <w:tcPr>
                  <w:tcW w:w="2995" w:type="dxa"/>
                  <w:gridSpan w:val="2"/>
                  <w:shd w:val="clear" w:color="auto" w:fill="auto"/>
                  <w:vAlign w:val="center"/>
                </w:tcPr>
                <w:p>
                  <w:pPr>
                    <w:adjustRightInd w:val="0"/>
                    <w:snapToGrid w:val="0"/>
                    <w:jc w:val="center"/>
                    <w:rPr>
                      <w:rFonts w:hint="default"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坐标</w:t>
                  </w:r>
                </w:p>
              </w:tc>
              <w:tc>
                <w:tcPr>
                  <w:tcW w:w="1196" w:type="dxa"/>
                  <w:vMerge w:val="restart"/>
                  <w:shd w:val="clear" w:color="auto" w:fill="auto"/>
                  <w:vAlign w:val="center"/>
                </w:tcPr>
                <w:p>
                  <w:pPr>
                    <w:adjustRightInd w:val="0"/>
                    <w:snapToGrid w:val="0"/>
                    <w:jc w:val="center"/>
                    <w:rPr>
                      <w:rFonts w:hint="default" w:ascii="Times New Roman" w:hAnsi="Times New Roman" w:cs="Times New Roman"/>
                      <w:b/>
                      <w:color w:val="auto"/>
                      <w:highlight w:val="none"/>
                      <w:lang w:eastAsia="zh-CN"/>
                    </w:rPr>
                  </w:pPr>
                  <w:r>
                    <w:rPr>
                      <w:rFonts w:hint="default" w:ascii="Times New Roman" w:hAnsi="Times New Roman" w:cs="Times New Roman"/>
                      <w:b/>
                      <w:color w:val="auto"/>
                      <w:highlight w:val="none"/>
                      <w:lang w:eastAsia="zh-CN"/>
                    </w:rPr>
                    <w:t>保护</w:t>
                  </w:r>
                </w:p>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对象</w:t>
                  </w:r>
                </w:p>
              </w:tc>
              <w:tc>
                <w:tcPr>
                  <w:tcW w:w="1206"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保护内容</w:t>
                  </w:r>
                  <w:r>
                    <w:rPr>
                      <w:rFonts w:hint="eastAsia" w:cs="Times New Roman"/>
                      <w:b/>
                      <w:color w:val="auto"/>
                      <w:highlight w:val="none"/>
                      <w:lang w:eastAsia="zh-CN"/>
                    </w:rPr>
                    <w:t>（</w:t>
                  </w:r>
                  <w:r>
                    <w:rPr>
                      <w:rFonts w:hint="eastAsia" w:cs="Times New Roman"/>
                      <w:b/>
                      <w:color w:val="auto"/>
                      <w:highlight w:val="none"/>
                      <w:lang w:val="en-US" w:eastAsia="zh-CN"/>
                    </w:rPr>
                    <w:t>人</w:t>
                  </w:r>
                  <w:r>
                    <w:rPr>
                      <w:rFonts w:hint="eastAsia" w:cs="Times New Roman"/>
                      <w:b/>
                      <w:color w:val="auto"/>
                      <w:highlight w:val="none"/>
                      <w:lang w:eastAsia="zh-CN"/>
                    </w:rPr>
                    <w:t>）</w:t>
                  </w:r>
                </w:p>
              </w:tc>
              <w:tc>
                <w:tcPr>
                  <w:tcW w:w="825"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环境功能区</w:t>
                  </w:r>
                </w:p>
              </w:tc>
              <w:tc>
                <w:tcPr>
                  <w:tcW w:w="675" w:type="dxa"/>
                  <w:vMerge w:val="restart"/>
                  <w:shd w:val="clear" w:color="auto" w:fill="auto"/>
                  <w:vAlign w:val="center"/>
                </w:tcPr>
                <w:p>
                  <w:pPr>
                    <w:adjustRightInd w:val="0"/>
                    <w:snapToGrid w:val="0"/>
                    <w:jc w:val="center"/>
                    <w:rPr>
                      <w:rFonts w:hint="eastAsia" w:ascii="Times New Roman" w:hAnsi="Times New Roman" w:eastAsia="仿宋" w:cs="Times New Roman"/>
                      <w:b/>
                      <w:color w:val="auto"/>
                      <w:kern w:val="2"/>
                      <w:sz w:val="21"/>
                      <w:szCs w:val="24"/>
                      <w:highlight w:val="none"/>
                      <w:lang w:val="en-US" w:eastAsia="zh-CN" w:bidi="ar-SA"/>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方位</w:t>
                  </w:r>
                </w:p>
              </w:tc>
              <w:tc>
                <w:tcPr>
                  <w:tcW w:w="813"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2"/>
                      <w:highlight w:val="none"/>
                      <w:lang w:val="en-US" w:eastAsia="zh-CN" w:bidi="ar-SA"/>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vMerge w:val="continue"/>
                </w:tcPr>
                <w:p>
                  <w:pPr>
                    <w:snapToGrid w:val="0"/>
                    <w:jc w:val="center"/>
                    <w:rPr>
                      <w:rFonts w:hint="eastAsia" w:ascii="Times New Roman" w:hAnsi="Times New Roman" w:cs="Times New Roman"/>
                      <w:b/>
                      <w:bCs/>
                      <w:color w:val="auto"/>
                      <w:highlight w:val="none"/>
                      <w:lang w:val="en-US" w:eastAsia="zh-CN"/>
                    </w:rPr>
                  </w:pP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经度（E）</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纬度（N）</w:t>
                  </w:r>
                </w:p>
              </w:tc>
              <w:tc>
                <w:tcPr>
                  <w:tcW w:w="1196" w:type="dxa"/>
                  <w:vMerge w:val="continue"/>
                </w:tcPr>
                <w:p>
                  <w:pPr>
                    <w:jc w:val="center"/>
                    <w:rPr>
                      <w:rFonts w:hint="eastAsia" w:cs="Times New Roman"/>
                      <w:color w:val="auto"/>
                      <w:highlight w:val="none"/>
                      <w:lang w:val="en-US" w:eastAsia="zh-CN"/>
                    </w:rPr>
                  </w:pPr>
                </w:p>
              </w:tc>
              <w:tc>
                <w:tcPr>
                  <w:tcW w:w="1206" w:type="dxa"/>
                  <w:vMerge w:val="continue"/>
                </w:tcPr>
                <w:p>
                  <w:pPr>
                    <w:jc w:val="center"/>
                    <w:rPr>
                      <w:rFonts w:hint="eastAsia" w:cs="Times New Roman"/>
                      <w:color w:val="auto"/>
                      <w:highlight w:val="none"/>
                      <w:lang w:val="en-US" w:eastAsia="zh-CN"/>
                    </w:rPr>
                  </w:pPr>
                </w:p>
              </w:tc>
              <w:tc>
                <w:tcPr>
                  <w:tcW w:w="825" w:type="dxa"/>
                  <w:vMerge w:val="continue"/>
                </w:tcPr>
                <w:p>
                  <w:pPr>
                    <w:jc w:val="center"/>
                    <w:rPr>
                      <w:rFonts w:hint="eastAsia" w:cs="Times New Roman"/>
                      <w:color w:val="auto"/>
                      <w:sz w:val="21"/>
                      <w:szCs w:val="21"/>
                      <w:highlight w:val="none"/>
                      <w:lang w:val="en-US" w:eastAsia="zh-CN"/>
                    </w:rPr>
                  </w:pPr>
                </w:p>
              </w:tc>
              <w:tc>
                <w:tcPr>
                  <w:tcW w:w="675" w:type="dxa"/>
                  <w:vMerge w:val="continue"/>
                </w:tcPr>
                <w:p>
                  <w:pPr>
                    <w:snapToGrid w:val="0"/>
                    <w:jc w:val="center"/>
                    <w:rPr>
                      <w:rFonts w:hint="eastAsia" w:cs="Times New Roman"/>
                      <w:color w:val="auto"/>
                      <w:highlight w:val="none"/>
                      <w:lang w:val="en-US" w:eastAsia="zh-CN"/>
                    </w:rPr>
                  </w:pPr>
                </w:p>
              </w:tc>
              <w:tc>
                <w:tcPr>
                  <w:tcW w:w="813" w:type="dxa"/>
                  <w:vMerge w:val="continue"/>
                </w:tcPr>
                <w:p>
                  <w:pPr>
                    <w:snapToGrid w:val="0"/>
                    <w:jc w:val="center"/>
                    <w:rPr>
                      <w:rFonts w:hint="eastAsia" w:cs="Times New Roman"/>
                      <w:color w:val="auto"/>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shd w:val="clear" w:color="auto" w:fill="auto"/>
                  <w:vAlign w:val="center"/>
                </w:tcPr>
                <w:p>
                  <w:pPr>
                    <w:snapToGrid w:val="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大气</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106°</w:t>
                  </w:r>
                  <w:r>
                    <w:rPr>
                      <w:rFonts w:hint="eastAsia" w:cs="Times New Roman"/>
                      <w:color w:val="auto"/>
                      <w:highlight w:val="none"/>
                      <w:lang w:val="en-US" w:eastAsia="zh-CN"/>
                    </w:rPr>
                    <w:t>26</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22.72</w:t>
                  </w:r>
                  <w:r>
                    <w:rPr>
                      <w:rFonts w:hint="default" w:ascii="Times New Roman" w:hAnsi="Times New Roman" w:eastAsia="宋体" w:cs="Times New Roman"/>
                      <w:color w:val="auto"/>
                      <w:highlight w:val="none"/>
                      <w:lang w:val="en-US" w:eastAsia="zh-CN"/>
                    </w:rPr>
                    <w:t>″</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35°3</w:t>
                  </w:r>
                  <w:r>
                    <w:rPr>
                      <w:rFonts w:hint="eastAsia" w:cs="Times New Roman"/>
                      <w:color w:val="auto"/>
                      <w:highlight w:val="none"/>
                      <w:lang w:val="en-US" w:eastAsia="zh-CN"/>
                    </w:rPr>
                    <w:t>4</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55.55</w:t>
                  </w:r>
                  <w:r>
                    <w:rPr>
                      <w:rFonts w:hint="default" w:ascii="Times New Roman" w:hAnsi="Times New Roman" w:eastAsia="宋体" w:cs="Times New Roman"/>
                      <w:color w:val="auto"/>
                      <w:highlight w:val="none"/>
                      <w:lang w:val="en-US" w:eastAsia="zh-CN"/>
                    </w:rPr>
                    <w:t>″</w:t>
                  </w:r>
                </w:p>
              </w:tc>
              <w:tc>
                <w:tcPr>
                  <w:tcW w:w="0" w:type="auto"/>
                  <w:shd w:val="clear" w:color="auto" w:fill="auto"/>
                  <w:vAlign w:val="center"/>
                </w:tcPr>
                <w:p>
                  <w:pPr>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居民</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约100人</w:t>
                  </w:r>
                </w:p>
              </w:tc>
              <w:tc>
                <w:tcPr>
                  <w:tcW w:w="0" w:type="auto"/>
                  <w:shd w:val="clear" w:color="auto" w:fill="auto"/>
                  <w:vAlign w:val="center"/>
                </w:tcPr>
                <w:p>
                  <w:pPr>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cs="Times New Roman"/>
                      <w:color w:val="auto"/>
                      <w:sz w:val="21"/>
                      <w:szCs w:val="21"/>
                      <w:highlight w:val="none"/>
                      <w:lang w:eastAsia="zh-CN"/>
                    </w:rPr>
                    <w:t>二</w:t>
                  </w:r>
                  <w:r>
                    <w:rPr>
                      <w:rFonts w:hint="default" w:ascii="Times New Roman" w:hAnsi="Times New Roman" w:eastAsia="宋体" w:cs="Times New Roman"/>
                      <w:color w:val="auto"/>
                      <w:sz w:val="21"/>
                      <w:szCs w:val="21"/>
                      <w:highlight w:val="none"/>
                    </w:rPr>
                    <w:t>类</w:t>
                  </w:r>
                </w:p>
              </w:tc>
              <w:tc>
                <w:tcPr>
                  <w:tcW w:w="0" w:type="auto"/>
                  <w:shd w:val="clear" w:color="auto" w:fill="auto"/>
                  <w:vAlign w:val="center"/>
                </w:tcPr>
                <w:p>
                  <w:pPr>
                    <w:snapToGrid w:val="0"/>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E</w:t>
                  </w:r>
                </w:p>
              </w:tc>
              <w:tc>
                <w:tcPr>
                  <w:tcW w:w="0" w:type="auto"/>
                  <w:shd w:val="clear" w:color="auto" w:fill="auto"/>
                  <w:vAlign w:val="center"/>
                </w:tcPr>
                <w:p>
                  <w:pPr>
                    <w:snapToGrid w:val="0"/>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270m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24" w:type="dxa"/>
                  <w:gridSpan w:val="8"/>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2"/>
                      <w:highlight w:val="none"/>
                      <w:lang w:val="en-US" w:eastAsia="zh-CN" w:bidi="ar-SA"/>
                    </w:rPr>
                  </w:pPr>
                  <w:r>
                    <w:rPr>
                      <w:rFonts w:hint="eastAsia" w:cs="Times New Roman"/>
                      <w:b/>
                      <w:color w:val="auto"/>
                      <w:szCs w:val="22"/>
                      <w:highlight w:val="none"/>
                      <w:lang w:val="en-US" w:eastAsia="zh-CN"/>
                    </w:rPr>
                    <w:t>米岗村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环境要素</w:t>
                  </w:r>
                </w:p>
              </w:tc>
              <w:tc>
                <w:tcPr>
                  <w:tcW w:w="2995" w:type="dxa"/>
                  <w:gridSpan w:val="2"/>
                  <w:shd w:val="clear" w:color="auto" w:fill="auto"/>
                  <w:vAlign w:val="center"/>
                </w:tcPr>
                <w:p>
                  <w:pPr>
                    <w:adjustRightInd w:val="0"/>
                    <w:snapToGrid w:val="0"/>
                    <w:jc w:val="center"/>
                    <w:rPr>
                      <w:rFonts w:hint="default"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坐标</w:t>
                  </w:r>
                </w:p>
              </w:tc>
              <w:tc>
                <w:tcPr>
                  <w:tcW w:w="1196"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保护对象</w:t>
                  </w:r>
                </w:p>
              </w:tc>
              <w:tc>
                <w:tcPr>
                  <w:tcW w:w="1206"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保护内容</w:t>
                  </w:r>
                  <w:r>
                    <w:rPr>
                      <w:rFonts w:hint="eastAsia" w:cs="Times New Roman"/>
                      <w:b/>
                      <w:color w:val="auto"/>
                      <w:highlight w:val="none"/>
                      <w:lang w:eastAsia="zh-CN"/>
                    </w:rPr>
                    <w:t>（</w:t>
                  </w:r>
                  <w:r>
                    <w:rPr>
                      <w:rFonts w:hint="eastAsia" w:cs="Times New Roman"/>
                      <w:b/>
                      <w:color w:val="auto"/>
                      <w:highlight w:val="none"/>
                      <w:lang w:val="en-US" w:eastAsia="zh-CN"/>
                    </w:rPr>
                    <w:t>人</w:t>
                  </w:r>
                  <w:r>
                    <w:rPr>
                      <w:rFonts w:hint="eastAsia" w:cs="Times New Roman"/>
                      <w:b/>
                      <w:color w:val="auto"/>
                      <w:highlight w:val="none"/>
                      <w:lang w:eastAsia="zh-CN"/>
                    </w:rPr>
                    <w:t>）</w:t>
                  </w:r>
                </w:p>
              </w:tc>
              <w:tc>
                <w:tcPr>
                  <w:tcW w:w="825"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环境功能区</w:t>
                  </w:r>
                </w:p>
              </w:tc>
              <w:tc>
                <w:tcPr>
                  <w:tcW w:w="675" w:type="dxa"/>
                  <w:vMerge w:val="restart"/>
                  <w:shd w:val="clear" w:color="auto" w:fill="auto"/>
                  <w:vAlign w:val="center"/>
                </w:tcPr>
                <w:p>
                  <w:pPr>
                    <w:adjustRightInd w:val="0"/>
                    <w:snapToGrid w:val="0"/>
                    <w:jc w:val="center"/>
                    <w:rPr>
                      <w:rFonts w:hint="eastAsia" w:ascii="Times New Roman" w:hAnsi="Times New Roman" w:eastAsia="仿宋" w:cs="Times New Roman"/>
                      <w:b/>
                      <w:color w:val="auto"/>
                      <w:kern w:val="2"/>
                      <w:sz w:val="21"/>
                      <w:szCs w:val="24"/>
                      <w:highlight w:val="none"/>
                      <w:lang w:val="en-US" w:eastAsia="zh-CN" w:bidi="ar-SA"/>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方位</w:t>
                  </w:r>
                </w:p>
              </w:tc>
              <w:tc>
                <w:tcPr>
                  <w:tcW w:w="813"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2"/>
                      <w:highlight w:val="none"/>
                      <w:lang w:val="en-US" w:eastAsia="zh-CN" w:bidi="ar-SA"/>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vMerge w:val="continue"/>
                </w:tcPr>
                <w:p>
                  <w:pPr>
                    <w:snapToGrid w:val="0"/>
                    <w:jc w:val="center"/>
                    <w:rPr>
                      <w:rFonts w:hint="eastAsia" w:ascii="Times New Roman" w:hAnsi="Times New Roman" w:cs="Times New Roman"/>
                      <w:b/>
                      <w:bCs/>
                      <w:color w:val="auto"/>
                      <w:highlight w:val="none"/>
                      <w:lang w:val="en-US" w:eastAsia="zh-CN"/>
                    </w:rPr>
                  </w:pP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经度（E）</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纬度（N）</w:t>
                  </w:r>
                </w:p>
              </w:tc>
              <w:tc>
                <w:tcPr>
                  <w:tcW w:w="1196" w:type="dxa"/>
                  <w:vMerge w:val="continue"/>
                </w:tcPr>
                <w:p>
                  <w:pPr>
                    <w:jc w:val="center"/>
                    <w:rPr>
                      <w:rFonts w:hint="eastAsia" w:cs="Times New Roman"/>
                      <w:color w:val="auto"/>
                      <w:highlight w:val="none"/>
                      <w:lang w:val="en-US" w:eastAsia="zh-CN"/>
                    </w:rPr>
                  </w:pPr>
                </w:p>
              </w:tc>
              <w:tc>
                <w:tcPr>
                  <w:tcW w:w="1206" w:type="dxa"/>
                  <w:vMerge w:val="continue"/>
                </w:tcPr>
                <w:p>
                  <w:pPr>
                    <w:jc w:val="center"/>
                    <w:rPr>
                      <w:rFonts w:hint="eastAsia" w:cs="Times New Roman"/>
                      <w:color w:val="auto"/>
                      <w:highlight w:val="none"/>
                      <w:lang w:val="en-US" w:eastAsia="zh-CN"/>
                    </w:rPr>
                  </w:pPr>
                </w:p>
              </w:tc>
              <w:tc>
                <w:tcPr>
                  <w:tcW w:w="825" w:type="dxa"/>
                  <w:vMerge w:val="continue"/>
                </w:tcPr>
                <w:p>
                  <w:pPr>
                    <w:jc w:val="center"/>
                    <w:rPr>
                      <w:rFonts w:hint="eastAsia" w:cs="Times New Roman"/>
                      <w:color w:val="auto"/>
                      <w:sz w:val="21"/>
                      <w:szCs w:val="21"/>
                      <w:highlight w:val="none"/>
                      <w:lang w:val="en-US" w:eastAsia="zh-CN"/>
                    </w:rPr>
                  </w:pPr>
                </w:p>
              </w:tc>
              <w:tc>
                <w:tcPr>
                  <w:tcW w:w="675" w:type="dxa"/>
                  <w:vMerge w:val="continue"/>
                </w:tcPr>
                <w:p>
                  <w:pPr>
                    <w:snapToGrid w:val="0"/>
                    <w:jc w:val="center"/>
                    <w:rPr>
                      <w:rFonts w:hint="eastAsia" w:cs="Times New Roman"/>
                      <w:color w:val="auto"/>
                      <w:highlight w:val="none"/>
                      <w:lang w:val="en-US" w:eastAsia="zh-CN"/>
                    </w:rPr>
                  </w:pPr>
                </w:p>
              </w:tc>
              <w:tc>
                <w:tcPr>
                  <w:tcW w:w="813" w:type="dxa"/>
                  <w:vMerge w:val="continue"/>
                </w:tcPr>
                <w:p>
                  <w:pPr>
                    <w:snapToGrid w:val="0"/>
                    <w:jc w:val="center"/>
                    <w:rPr>
                      <w:rFonts w:hint="eastAsia" w:cs="Times New Roman"/>
                      <w:color w:val="auto"/>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shd w:val="clear" w:color="auto" w:fill="auto"/>
                  <w:vAlign w:val="center"/>
                </w:tcPr>
                <w:p>
                  <w:pPr>
                    <w:snapToGrid w:val="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cs="Times New Roman"/>
                      <w:b/>
                      <w:bCs/>
                      <w:color w:val="auto"/>
                      <w:highlight w:val="none"/>
                      <w:lang w:val="en-US" w:eastAsia="zh-CN"/>
                    </w:rPr>
                    <w:t>大气</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106°1</w:t>
                  </w:r>
                  <w:r>
                    <w:rPr>
                      <w:rFonts w:hint="eastAsia" w:cs="Times New Roman"/>
                      <w:color w:val="auto"/>
                      <w:highlight w:val="none"/>
                      <w:lang w:val="en-US" w:eastAsia="zh-CN"/>
                    </w:rPr>
                    <w:t>7</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19.19</w:t>
                  </w:r>
                  <w:r>
                    <w:rPr>
                      <w:rFonts w:hint="default" w:ascii="Times New Roman" w:hAnsi="Times New Roman" w:eastAsia="宋体" w:cs="Times New Roman"/>
                      <w:color w:val="auto"/>
                      <w:highlight w:val="none"/>
                      <w:lang w:val="en-US" w:eastAsia="zh-CN"/>
                    </w:rPr>
                    <w:t>″</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35°</w:t>
                  </w:r>
                  <w:r>
                    <w:rPr>
                      <w:rFonts w:hint="eastAsia" w:cs="Times New Roman"/>
                      <w:color w:val="auto"/>
                      <w:highlight w:val="none"/>
                      <w:lang w:val="en-US" w:eastAsia="zh-CN"/>
                    </w:rPr>
                    <w:t>33</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22.74</w:t>
                  </w:r>
                  <w:r>
                    <w:rPr>
                      <w:rFonts w:hint="default" w:ascii="Times New Roman" w:hAnsi="Times New Roman" w:eastAsia="宋体" w:cs="Times New Roman"/>
                      <w:color w:val="auto"/>
                      <w:highlight w:val="none"/>
                      <w:lang w:val="en-US" w:eastAsia="zh-CN"/>
                    </w:rPr>
                    <w:t>″</w:t>
                  </w:r>
                </w:p>
              </w:tc>
              <w:tc>
                <w:tcPr>
                  <w:tcW w:w="0" w:type="auto"/>
                  <w:shd w:val="clear" w:color="auto" w:fill="auto"/>
                  <w:vAlign w:val="center"/>
                </w:tcPr>
                <w:p>
                  <w:pPr>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居民</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约500人</w:t>
                  </w:r>
                </w:p>
              </w:tc>
              <w:tc>
                <w:tcPr>
                  <w:tcW w:w="0" w:type="auto"/>
                  <w:shd w:val="clear" w:color="auto" w:fill="auto"/>
                  <w:vAlign w:val="center"/>
                </w:tcPr>
                <w:p>
                  <w:pPr>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sz w:val="21"/>
                      <w:szCs w:val="21"/>
                      <w:highlight w:val="none"/>
                      <w:lang w:val="en-US" w:eastAsia="zh-CN"/>
                    </w:rPr>
                    <w:t>二</w:t>
                  </w:r>
                  <w:r>
                    <w:rPr>
                      <w:rFonts w:hint="default" w:ascii="Times New Roman" w:hAnsi="Times New Roman" w:eastAsia="宋体" w:cs="Times New Roman"/>
                      <w:color w:val="auto"/>
                      <w:sz w:val="21"/>
                      <w:szCs w:val="21"/>
                      <w:highlight w:val="none"/>
                    </w:rPr>
                    <w:t>类</w:t>
                  </w:r>
                </w:p>
              </w:tc>
              <w:tc>
                <w:tcPr>
                  <w:tcW w:w="0" w:type="auto"/>
                  <w:shd w:val="clear" w:color="auto" w:fill="auto"/>
                  <w:vAlign w:val="center"/>
                </w:tcPr>
                <w:p>
                  <w:pPr>
                    <w:snapToGrid w:val="0"/>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W</w:t>
                  </w:r>
                </w:p>
              </w:tc>
              <w:tc>
                <w:tcPr>
                  <w:tcW w:w="0" w:type="auto"/>
                  <w:shd w:val="clear" w:color="auto" w:fill="auto"/>
                  <w:vAlign w:val="center"/>
                </w:tcPr>
                <w:p>
                  <w:pPr>
                    <w:snapToGrid w:val="0"/>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55m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24" w:type="dxa"/>
                  <w:gridSpan w:val="8"/>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2"/>
                      <w:highlight w:val="none"/>
                      <w:lang w:val="en-US" w:eastAsia="zh-CN" w:bidi="ar-SA"/>
                    </w:rPr>
                  </w:pPr>
                  <w:r>
                    <w:rPr>
                      <w:rFonts w:hint="eastAsia" w:cs="Times New Roman"/>
                      <w:b/>
                      <w:color w:val="auto"/>
                      <w:szCs w:val="22"/>
                      <w:highlight w:val="none"/>
                      <w:lang w:val="en-US" w:eastAsia="zh-CN"/>
                    </w:rPr>
                    <w:t>兴盛村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环境要素</w:t>
                  </w:r>
                </w:p>
              </w:tc>
              <w:tc>
                <w:tcPr>
                  <w:tcW w:w="2995" w:type="dxa"/>
                  <w:gridSpan w:val="2"/>
                  <w:shd w:val="clear" w:color="auto" w:fill="auto"/>
                  <w:vAlign w:val="center"/>
                </w:tcPr>
                <w:p>
                  <w:pPr>
                    <w:adjustRightInd w:val="0"/>
                    <w:snapToGrid w:val="0"/>
                    <w:jc w:val="center"/>
                    <w:rPr>
                      <w:rFonts w:hint="default"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坐标</w:t>
                  </w:r>
                </w:p>
              </w:tc>
              <w:tc>
                <w:tcPr>
                  <w:tcW w:w="1196"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保护对象</w:t>
                  </w:r>
                </w:p>
              </w:tc>
              <w:tc>
                <w:tcPr>
                  <w:tcW w:w="1206"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保护内容</w:t>
                  </w:r>
                  <w:r>
                    <w:rPr>
                      <w:rFonts w:hint="eastAsia" w:cs="Times New Roman"/>
                      <w:b/>
                      <w:color w:val="auto"/>
                      <w:highlight w:val="none"/>
                      <w:lang w:eastAsia="zh-CN"/>
                    </w:rPr>
                    <w:t>（</w:t>
                  </w:r>
                  <w:r>
                    <w:rPr>
                      <w:rFonts w:hint="eastAsia" w:cs="Times New Roman"/>
                      <w:b/>
                      <w:color w:val="auto"/>
                      <w:highlight w:val="none"/>
                      <w:lang w:val="en-US" w:eastAsia="zh-CN"/>
                    </w:rPr>
                    <w:t>人</w:t>
                  </w:r>
                  <w:r>
                    <w:rPr>
                      <w:rFonts w:hint="eastAsia" w:cs="Times New Roman"/>
                      <w:b/>
                      <w:color w:val="auto"/>
                      <w:highlight w:val="none"/>
                      <w:lang w:eastAsia="zh-CN"/>
                    </w:rPr>
                    <w:t>）</w:t>
                  </w:r>
                </w:p>
              </w:tc>
              <w:tc>
                <w:tcPr>
                  <w:tcW w:w="825"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环境功能区</w:t>
                  </w:r>
                </w:p>
              </w:tc>
              <w:tc>
                <w:tcPr>
                  <w:tcW w:w="675" w:type="dxa"/>
                  <w:vMerge w:val="restart"/>
                  <w:shd w:val="clear" w:color="auto" w:fill="auto"/>
                  <w:vAlign w:val="center"/>
                </w:tcPr>
                <w:p>
                  <w:pPr>
                    <w:adjustRightInd w:val="0"/>
                    <w:snapToGrid w:val="0"/>
                    <w:jc w:val="center"/>
                    <w:rPr>
                      <w:rFonts w:hint="eastAsia" w:ascii="Times New Roman" w:hAnsi="Times New Roman" w:eastAsia="仿宋" w:cs="Times New Roman"/>
                      <w:b/>
                      <w:color w:val="auto"/>
                      <w:kern w:val="2"/>
                      <w:sz w:val="21"/>
                      <w:szCs w:val="24"/>
                      <w:highlight w:val="none"/>
                      <w:lang w:val="en-US" w:eastAsia="zh-CN" w:bidi="ar-SA"/>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方位</w:t>
                  </w:r>
                </w:p>
              </w:tc>
              <w:tc>
                <w:tcPr>
                  <w:tcW w:w="813"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2"/>
                      <w:highlight w:val="none"/>
                      <w:lang w:val="en-US" w:eastAsia="zh-CN" w:bidi="ar-SA"/>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vMerge w:val="continue"/>
                </w:tcPr>
                <w:p>
                  <w:pPr>
                    <w:snapToGrid w:val="0"/>
                    <w:jc w:val="center"/>
                    <w:rPr>
                      <w:rFonts w:hint="eastAsia" w:ascii="Times New Roman" w:hAnsi="Times New Roman" w:cs="Times New Roman"/>
                      <w:b/>
                      <w:bCs/>
                      <w:color w:val="auto"/>
                      <w:highlight w:val="none"/>
                      <w:lang w:val="en-US" w:eastAsia="zh-CN"/>
                    </w:rPr>
                  </w:pP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经度（E）</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纬度（N）</w:t>
                  </w:r>
                </w:p>
              </w:tc>
              <w:tc>
                <w:tcPr>
                  <w:tcW w:w="1196" w:type="dxa"/>
                  <w:vMerge w:val="continue"/>
                </w:tcPr>
                <w:p>
                  <w:pPr>
                    <w:jc w:val="center"/>
                    <w:rPr>
                      <w:rFonts w:hint="eastAsia" w:cs="Times New Roman"/>
                      <w:color w:val="auto"/>
                      <w:highlight w:val="none"/>
                      <w:lang w:val="en-US" w:eastAsia="zh-CN"/>
                    </w:rPr>
                  </w:pPr>
                </w:p>
              </w:tc>
              <w:tc>
                <w:tcPr>
                  <w:tcW w:w="1206" w:type="dxa"/>
                  <w:vMerge w:val="continue"/>
                </w:tcPr>
                <w:p>
                  <w:pPr>
                    <w:jc w:val="center"/>
                    <w:rPr>
                      <w:rFonts w:hint="eastAsia" w:cs="Times New Roman"/>
                      <w:color w:val="auto"/>
                      <w:highlight w:val="none"/>
                      <w:lang w:val="en-US" w:eastAsia="zh-CN"/>
                    </w:rPr>
                  </w:pPr>
                </w:p>
              </w:tc>
              <w:tc>
                <w:tcPr>
                  <w:tcW w:w="825" w:type="dxa"/>
                  <w:vMerge w:val="continue"/>
                </w:tcPr>
                <w:p>
                  <w:pPr>
                    <w:jc w:val="center"/>
                    <w:rPr>
                      <w:rFonts w:hint="eastAsia" w:cs="Times New Roman"/>
                      <w:color w:val="auto"/>
                      <w:sz w:val="21"/>
                      <w:szCs w:val="21"/>
                      <w:highlight w:val="none"/>
                      <w:lang w:val="en-US" w:eastAsia="zh-CN"/>
                    </w:rPr>
                  </w:pPr>
                </w:p>
              </w:tc>
              <w:tc>
                <w:tcPr>
                  <w:tcW w:w="675" w:type="dxa"/>
                  <w:vMerge w:val="continue"/>
                </w:tcPr>
                <w:p>
                  <w:pPr>
                    <w:snapToGrid w:val="0"/>
                    <w:jc w:val="center"/>
                    <w:rPr>
                      <w:rFonts w:hint="eastAsia" w:cs="Times New Roman"/>
                      <w:color w:val="auto"/>
                      <w:highlight w:val="none"/>
                      <w:lang w:val="en-US" w:eastAsia="zh-CN"/>
                    </w:rPr>
                  </w:pPr>
                </w:p>
              </w:tc>
              <w:tc>
                <w:tcPr>
                  <w:tcW w:w="813" w:type="dxa"/>
                  <w:vMerge w:val="continue"/>
                </w:tcPr>
                <w:p>
                  <w:pPr>
                    <w:snapToGrid w:val="0"/>
                    <w:jc w:val="center"/>
                    <w:rPr>
                      <w:rFonts w:hint="eastAsia" w:cs="Times New Roman"/>
                      <w:color w:val="auto"/>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shd w:val="clear" w:color="auto" w:fill="auto"/>
                  <w:vAlign w:val="center"/>
                </w:tcPr>
                <w:p>
                  <w:pPr>
                    <w:snapToGrid w:val="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cs="Times New Roman"/>
                      <w:b/>
                      <w:bCs/>
                      <w:color w:val="auto"/>
                      <w:highlight w:val="none"/>
                      <w:lang w:val="en-US" w:eastAsia="zh-CN"/>
                    </w:rPr>
                    <w:t>大气</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106°</w:t>
                  </w:r>
                  <w:r>
                    <w:rPr>
                      <w:rFonts w:hint="eastAsia" w:cs="Times New Roman"/>
                      <w:color w:val="auto"/>
                      <w:highlight w:val="none"/>
                      <w:lang w:val="en-US" w:eastAsia="zh-CN"/>
                    </w:rPr>
                    <w:t>20</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0.93</w:t>
                  </w:r>
                  <w:r>
                    <w:rPr>
                      <w:rFonts w:hint="default" w:ascii="Times New Roman" w:hAnsi="Times New Roman" w:eastAsia="宋体" w:cs="Times New Roman"/>
                      <w:color w:val="auto"/>
                      <w:highlight w:val="none"/>
                      <w:lang w:val="en-US" w:eastAsia="zh-CN"/>
                    </w:rPr>
                    <w:t>″</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35°</w:t>
                  </w:r>
                  <w:r>
                    <w:rPr>
                      <w:rFonts w:hint="eastAsia" w:cs="Times New Roman"/>
                      <w:color w:val="auto"/>
                      <w:highlight w:val="none"/>
                      <w:lang w:val="en-US" w:eastAsia="zh-CN"/>
                    </w:rPr>
                    <w:t>27</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3.20</w:t>
                  </w:r>
                  <w:r>
                    <w:rPr>
                      <w:rFonts w:hint="default" w:ascii="Times New Roman" w:hAnsi="Times New Roman" w:eastAsia="宋体" w:cs="Times New Roman"/>
                      <w:color w:val="auto"/>
                      <w:highlight w:val="none"/>
                      <w:lang w:val="en-US" w:eastAsia="zh-CN"/>
                    </w:rPr>
                    <w:t>″</w:t>
                  </w:r>
                </w:p>
              </w:tc>
              <w:tc>
                <w:tcPr>
                  <w:tcW w:w="0" w:type="auto"/>
                  <w:shd w:val="clear" w:color="auto" w:fill="auto"/>
                  <w:vAlign w:val="center"/>
                </w:tcPr>
                <w:p>
                  <w:pPr>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b w:val="0"/>
                      <w:bCs/>
                      <w:color w:val="auto"/>
                      <w:szCs w:val="22"/>
                      <w:highlight w:val="none"/>
                      <w:lang w:val="en-US" w:eastAsia="zh-CN"/>
                    </w:rPr>
                    <w:t>居民</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约100</w:t>
                  </w:r>
                </w:p>
              </w:tc>
              <w:tc>
                <w:tcPr>
                  <w:tcW w:w="0" w:type="auto"/>
                  <w:shd w:val="clear" w:color="auto" w:fill="auto"/>
                  <w:vAlign w:val="center"/>
                </w:tcPr>
                <w:p>
                  <w:pPr>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sz w:val="21"/>
                      <w:szCs w:val="21"/>
                      <w:highlight w:val="none"/>
                      <w:lang w:val="en-US" w:eastAsia="zh-CN"/>
                    </w:rPr>
                    <w:t>一</w:t>
                  </w:r>
                  <w:r>
                    <w:rPr>
                      <w:rFonts w:hint="default" w:ascii="Times New Roman" w:hAnsi="Times New Roman" w:eastAsia="宋体" w:cs="Times New Roman"/>
                      <w:color w:val="auto"/>
                      <w:sz w:val="21"/>
                      <w:szCs w:val="21"/>
                      <w:highlight w:val="none"/>
                    </w:rPr>
                    <w:t>类</w:t>
                  </w:r>
                </w:p>
              </w:tc>
              <w:tc>
                <w:tcPr>
                  <w:tcW w:w="0" w:type="auto"/>
                  <w:shd w:val="clear" w:color="auto" w:fill="auto"/>
                  <w:vAlign w:val="center"/>
                </w:tcPr>
                <w:p>
                  <w:pPr>
                    <w:snapToGrid w:val="0"/>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SW</w:t>
                  </w:r>
                </w:p>
              </w:tc>
              <w:tc>
                <w:tcPr>
                  <w:tcW w:w="0" w:type="auto"/>
                  <w:shd w:val="clear" w:color="auto" w:fill="auto"/>
                  <w:vAlign w:val="center"/>
                </w:tcPr>
                <w:p>
                  <w:pPr>
                    <w:snapToGrid w:val="0"/>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190m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24" w:type="dxa"/>
                  <w:gridSpan w:val="8"/>
                  <w:shd w:val="clear" w:color="auto" w:fill="auto"/>
                  <w:vAlign w:val="center"/>
                </w:tcPr>
                <w:p>
                  <w:pPr>
                    <w:snapToGrid w:val="0"/>
                    <w:jc w:val="center"/>
                    <w:rPr>
                      <w:rFonts w:hint="default" w:cs="Times New Roman"/>
                      <w:color w:val="auto"/>
                      <w:highlight w:val="none"/>
                      <w:lang w:val="en-US" w:eastAsia="zh-CN"/>
                    </w:rPr>
                  </w:pPr>
                  <w:r>
                    <w:rPr>
                      <w:rFonts w:hint="eastAsia" w:cs="Times New Roman"/>
                      <w:b/>
                      <w:color w:val="auto"/>
                      <w:szCs w:val="22"/>
                      <w:highlight w:val="none"/>
                      <w:lang w:val="en-US" w:eastAsia="zh-CN"/>
                    </w:rPr>
                    <w:t>白面村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环境要素</w:t>
                  </w:r>
                </w:p>
              </w:tc>
              <w:tc>
                <w:tcPr>
                  <w:tcW w:w="2995" w:type="dxa"/>
                  <w:gridSpan w:val="2"/>
                  <w:shd w:val="clear" w:color="auto" w:fill="auto"/>
                  <w:vAlign w:val="center"/>
                </w:tcPr>
                <w:p>
                  <w:pPr>
                    <w:adjustRightInd w:val="0"/>
                    <w:snapToGrid w:val="0"/>
                    <w:jc w:val="center"/>
                    <w:rPr>
                      <w:rFonts w:hint="default"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坐标</w:t>
                  </w:r>
                </w:p>
              </w:tc>
              <w:tc>
                <w:tcPr>
                  <w:tcW w:w="1196"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保护对象</w:t>
                  </w:r>
                </w:p>
              </w:tc>
              <w:tc>
                <w:tcPr>
                  <w:tcW w:w="1206"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保护内容</w:t>
                  </w:r>
                  <w:r>
                    <w:rPr>
                      <w:rFonts w:hint="eastAsia" w:cs="Times New Roman"/>
                      <w:b/>
                      <w:color w:val="auto"/>
                      <w:highlight w:val="none"/>
                      <w:lang w:eastAsia="zh-CN"/>
                    </w:rPr>
                    <w:t>（</w:t>
                  </w:r>
                  <w:r>
                    <w:rPr>
                      <w:rFonts w:hint="eastAsia" w:cs="Times New Roman"/>
                      <w:b/>
                      <w:color w:val="auto"/>
                      <w:highlight w:val="none"/>
                      <w:lang w:val="en-US" w:eastAsia="zh-CN"/>
                    </w:rPr>
                    <w:t>人</w:t>
                  </w:r>
                  <w:r>
                    <w:rPr>
                      <w:rFonts w:hint="eastAsia" w:cs="Times New Roman"/>
                      <w:b/>
                      <w:color w:val="auto"/>
                      <w:highlight w:val="none"/>
                      <w:lang w:eastAsia="zh-CN"/>
                    </w:rPr>
                    <w:t>）</w:t>
                  </w:r>
                </w:p>
              </w:tc>
              <w:tc>
                <w:tcPr>
                  <w:tcW w:w="825"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环境功能区</w:t>
                  </w:r>
                </w:p>
              </w:tc>
              <w:tc>
                <w:tcPr>
                  <w:tcW w:w="675" w:type="dxa"/>
                  <w:vMerge w:val="restart"/>
                  <w:shd w:val="clear" w:color="auto" w:fill="auto"/>
                  <w:vAlign w:val="center"/>
                </w:tcPr>
                <w:p>
                  <w:pPr>
                    <w:adjustRightInd w:val="0"/>
                    <w:snapToGrid w:val="0"/>
                    <w:jc w:val="center"/>
                    <w:rPr>
                      <w:rFonts w:hint="eastAsia" w:ascii="Times New Roman" w:hAnsi="Times New Roman" w:eastAsia="仿宋" w:cs="Times New Roman"/>
                      <w:b/>
                      <w:color w:val="auto"/>
                      <w:kern w:val="2"/>
                      <w:sz w:val="21"/>
                      <w:szCs w:val="24"/>
                      <w:highlight w:val="none"/>
                      <w:lang w:val="en-US" w:eastAsia="zh-CN" w:bidi="ar-SA"/>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方位</w:t>
                  </w:r>
                </w:p>
              </w:tc>
              <w:tc>
                <w:tcPr>
                  <w:tcW w:w="813"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2"/>
                      <w:highlight w:val="none"/>
                      <w:lang w:val="en-US" w:eastAsia="zh-CN" w:bidi="ar-SA"/>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vMerge w:val="continue"/>
                </w:tcPr>
                <w:p>
                  <w:pPr>
                    <w:snapToGrid w:val="0"/>
                    <w:jc w:val="center"/>
                    <w:rPr>
                      <w:rFonts w:hint="eastAsia" w:ascii="Times New Roman" w:hAnsi="Times New Roman" w:cs="Times New Roman"/>
                      <w:b/>
                      <w:bCs/>
                      <w:color w:val="auto"/>
                      <w:highlight w:val="none"/>
                      <w:lang w:val="en-US" w:eastAsia="zh-CN"/>
                    </w:rPr>
                  </w:pP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经度（E）</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纬度（N）</w:t>
                  </w:r>
                </w:p>
              </w:tc>
              <w:tc>
                <w:tcPr>
                  <w:tcW w:w="1196" w:type="dxa"/>
                  <w:vMerge w:val="continue"/>
                </w:tcPr>
                <w:p>
                  <w:pPr>
                    <w:jc w:val="center"/>
                    <w:rPr>
                      <w:rFonts w:hint="eastAsia" w:cs="Times New Roman"/>
                      <w:color w:val="auto"/>
                      <w:highlight w:val="none"/>
                      <w:lang w:val="en-US" w:eastAsia="zh-CN"/>
                    </w:rPr>
                  </w:pPr>
                </w:p>
              </w:tc>
              <w:tc>
                <w:tcPr>
                  <w:tcW w:w="1206" w:type="dxa"/>
                  <w:vMerge w:val="continue"/>
                </w:tcPr>
                <w:p>
                  <w:pPr>
                    <w:jc w:val="center"/>
                    <w:rPr>
                      <w:rFonts w:hint="eastAsia" w:cs="Times New Roman"/>
                      <w:color w:val="auto"/>
                      <w:highlight w:val="none"/>
                      <w:lang w:val="en-US" w:eastAsia="zh-CN"/>
                    </w:rPr>
                  </w:pPr>
                </w:p>
              </w:tc>
              <w:tc>
                <w:tcPr>
                  <w:tcW w:w="825" w:type="dxa"/>
                  <w:vMerge w:val="continue"/>
                </w:tcPr>
                <w:p>
                  <w:pPr>
                    <w:jc w:val="center"/>
                    <w:rPr>
                      <w:rFonts w:hint="eastAsia" w:cs="Times New Roman"/>
                      <w:color w:val="auto"/>
                      <w:sz w:val="21"/>
                      <w:szCs w:val="21"/>
                      <w:highlight w:val="none"/>
                      <w:lang w:val="en-US" w:eastAsia="zh-CN"/>
                    </w:rPr>
                  </w:pPr>
                </w:p>
              </w:tc>
              <w:tc>
                <w:tcPr>
                  <w:tcW w:w="675" w:type="dxa"/>
                  <w:vMerge w:val="continue"/>
                </w:tcPr>
                <w:p>
                  <w:pPr>
                    <w:snapToGrid w:val="0"/>
                    <w:jc w:val="center"/>
                    <w:rPr>
                      <w:rFonts w:hint="eastAsia" w:cs="Times New Roman"/>
                      <w:color w:val="auto"/>
                      <w:highlight w:val="none"/>
                      <w:lang w:val="en-US" w:eastAsia="zh-CN"/>
                    </w:rPr>
                  </w:pPr>
                </w:p>
              </w:tc>
              <w:tc>
                <w:tcPr>
                  <w:tcW w:w="813" w:type="dxa"/>
                  <w:vMerge w:val="continue"/>
                </w:tcPr>
                <w:p>
                  <w:pPr>
                    <w:snapToGrid w:val="0"/>
                    <w:jc w:val="center"/>
                    <w:rPr>
                      <w:rFonts w:hint="eastAsia" w:cs="Times New Roman"/>
                      <w:color w:val="auto"/>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shd w:val="clear" w:color="auto" w:fill="auto"/>
                  <w:vAlign w:val="center"/>
                </w:tcPr>
                <w:p>
                  <w:pPr>
                    <w:snapToGrid w:val="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大气</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106°</w:t>
                  </w:r>
                  <w:r>
                    <w:rPr>
                      <w:rFonts w:hint="eastAsia" w:cs="Times New Roman"/>
                      <w:color w:val="auto"/>
                      <w:highlight w:val="none"/>
                      <w:lang w:val="en-US" w:eastAsia="zh-CN"/>
                    </w:rPr>
                    <w:t>26</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39.77</w:t>
                  </w:r>
                  <w:r>
                    <w:rPr>
                      <w:rFonts w:hint="default" w:ascii="Times New Roman" w:hAnsi="Times New Roman" w:eastAsia="宋体" w:cs="Times New Roman"/>
                      <w:color w:val="auto"/>
                      <w:highlight w:val="none"/>
                      <w:lang w:val="en-US" w:eastAsia="zh-CN"/>
                    </w:rPr>
                    <w:t>″</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35°</w:t>
                  </w:r>
                  <w:r>
                    <w:rPr>
                      <w:rFonts w:hint="eastAsia" w:cs="Times New Roman"/>
                      <w:color w:val="auto"/>
                      <w:highlight w:val="none"/>
                      <w:lang w:val="en-US" w:eastAsia="zh-CN"/>
                    </w:rPr>
                    <w:t>21</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7.87</w:t>
                  </w:r>
                  <w:r>
                    <w:rPr>
                      <w:rFonts w:hint="default" w:ascii="Times New Roman" w:hAnsi="Times New Roman" w:eastAsia="宋体" w:cs="Times New Roman"/>
                      <w:color w:val="auto"/>
                      <w:highlight w:val="none"/>
                      <w:lang w:val="en-US" w:eastAsia="zh-CN"/>
                    </w:rPr>
                    <w:t>″</w:t>
                  </w:r>
                </w:p>
              </w:tc>
              <w:tc>
                <w:tcPr>
                  <w:tcW w:w="0" w:type="auto"/>
                  <w:shd w:val="clear" w:color="auto" w:fill="auto"/>
                  <w:vAlign w:val="center"/>
                </w:tcPr>
                <w:p>
                  <w:pPr>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b w:val="0"/>
                      <w:bCs/>
                      <w:color w:val="auto"/>
                      <w:szCs w:val="22"/>
                      <w:highlight w:val="none"/>
                      <w:lang w:val="en-US" w:eastAsia="zh-CN"/>
                    </w:rPr>
                    <w:t>居民</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约100人</w:t>
                  </w:r>
                </w:p>
              </w:tc>
              <w:tc>
                <w:tcPr>
                  <w:tcW w:w="0" w:type="auto"/>
                  <w:shd w:val="clear" w:color="auto" w:fill="auto"/>
                  <w:vAlign w:val="center"/>
                </w:tcPr>
                <w:p>
                  <w:pPr>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cs="Times New Roman"/>
                      <w:color w:val="auto"/>
                      <w:sz w:val="21"/>
                      <w:szCs w:val="21"/>
                      <w:highlight w:val="none"/>
                      <w:lang w:eastAsia="zh-CN"/>
                    </w:rPr>
                    <w:t>二</w:t>
                  </w:r>
                  <w:r>
                    <w:rPr>
                      <w:rFonts w:hint="default" w:ascii="Times New Roman" w:hAnsi="Times New Roman" w:eastAsia="宋体" w:cs="Times New Roman"/>
                      <w:color w:val="auto"/>
                      <w:sz w:val="21"/>
                      <w:szCs w:val="21"/>
                      <w:highlight w:val="none"/>
                    </w:rPr>
                    <w:t>类</w:t>
                  </w:r>
                </w:p>
              </w:tc>
              <w:tc>
                <w:tcPr>
                  <w:tcW w:w="0" w:type="auto"/>
                  <w:shd w:val="clear" w:color="auto" w:fill="auto"/>
                  <w:vAlign w:val="center"/>
                </w:tcPr>
                <w:p>
                  <w:pPr>
                    <w:snapToGrid w:val="0"/>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NE</w:t>
                  </w:r>
                </w:p>
              </w:tc>
              <w:tc>
                <w:tcPr>
                  <w:tcW w:w="0" w:type="auto"/>
                  <w:shd w:val="clear" w:color="auto" w:fill="auto"/>
                  <w:vAlign w:val="center"/>
                </w:tcPr>
                <w:p>
                  <w:pPr>
                    <w:snapToGrid w:val="0"/>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300m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24" w:type="dxa"/>
                  <w:gridSpan w:val="8"/>
                  <w:shd w:val="clear" w:color="auto" w:fill="auto"/>
                  <w:vAlign w:val="center"/>
                </w:tcPr>
                <w:p>
                  <w:pPr>
                    <w:snapToGrid w:val="0"/>
                    <w:jc w:val="center"/>
                    <w:rPr>
                      <w:rFonts w:hint="eastAsia" w:cs="Times New Roman"/>
                      <w:color w:val="auto"/>
                      <w:highlight w:val="none"/>
                      <w:lang w:val="en-US" w:eastAsia="zh-CN"/>
                    </w:rPr>
                  </w:pPr>
                  <w:r>
                    <w:rPr>
                      <w:rFonts w:hint="eastAsia" w:cs="Times New Roman"/>
                      <w:b/>
                      <w:color w:val="auto"/>
                      <w:szCs w:val="22"/>
                      <w:highlight w:val="none"/>
                      <w:lang w:val="en-US" w:eastAsia="zh-CN"/>
                    </w:rPr>
                    <w:t>西沟村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环境要素</w:t>
                  </w:r>
                </w:p>
              </w:tc>
              <w:tc>
                <w:tcPr>
                  <w:tcW w:w="2995" w:type="dxa"/>
                  <w:gridSpan w:val="2"/>
                  <w:shd w:val="clear" w:color="auto" w:fill="auto"/>
                  <w:vAlign w:val="center"/>
                </w:tcPr>
                <w:p>
                  <w:pPr>
                    <w:adjustRightInd w:val="0"/>
                    <w:snapToGrid w:val="0"/>
                    <w:jc w:val="center"/>
                    <w:rPr>
                      <w:rFonts w:hint="default"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坐标</w:t>
                  </w:r>
                </w:p>
              </w:tc>
              <w:tc>
                <w:tcPr>
                  <w:tcW w:w="1196"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保护对象</w:t>
                  </w:r>
                </w:p>
              </w:tc>
              <w:tc>
                <w:tcPr>
                  <w:tcW w:w="1206"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保护内容</w:t>
                  </w:r>
                  <w:r>
                    <w:rPr>
                      <w:rFonts w:hint="eastAsia" w:cs="Times New Roman"/>
                      <w:b/>
                      <w:color w:val="auto"/>
                      <w:highlight w:val="none"/>
                      <w:lang w:eastAsia="zh-CN"/>
                    </w:rPr>
                    <w:t>（</w:t>
                  </w:r>
                  <w:r>
                    <w:rPr>
                      <w:rFonts w:hint="eastAsia" w:cs="Times New Roman"/>
                      <w:b/>
                      <w:color w:val="auto"/>
                      <w:highlight w:val="none"/>
                      <w:lang w:val="en-US" w:eastAsia="zh-CN"/>
                    </w:rPr>
                    <w:t>人</w:t>
                  </w:r>
                  <w:r>
                    <w:rPr>
                      <w:rFonts w:hint="eastAsia" w:cs="Times New Roman"/>
                      <w:b/>
                      <w:color w:val="auto"/>
                      <w:highlight w:val="none"/>
                      <w:lang w:eastAsia="zh-CN"/>
                    </w:rPr>
                    <w:t>）</w:t>
                  </w:r>
                </w:p>
              </w:tc>
              <w:tc>
                <w:tcPr>
                  <w:tcW w:w="825"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4"/>
                      <w:highlight w:val="none"/>
                      <w:lang w:val="en-US" w:eastAsia="zh-CN" w:bidi="ar-SA"/>
                    </w:rPr>
                  </w:pPr>
                  <w:r>
                    <w:rPr>
                      <w:rFonts w:hint="default" w:ascii="Times New Roman" w:hAnsi="Times New Roman" w:cs="Times New Roman"/>
                      <w:b/>
                      <w:color w:val="auto"/>
                      <w:highlight w:val="none"/>
                      <w:lang w:eastAsia="zh-CN"/>
                    </w:rPr>
                    <w:t>环境功能区</w:t>
                  </w:r>
                </w:p>
              </w:tc>
              <w:tc>
                <w:tcPr>
                  <w:tcW w:w="675" w:type="dxa"/>
                  <w:vMerge w:val="restart"/>
                  <w:shd w:val="clear" w:color="auto" w:fill="auto"/>
                  <w:vAlign w:val="center"/>
                </w:tcPr>
                <w:p>
                  <w:pPr>
                    <w:adjustRightInd w:val="0"/>
                    <w:snapToGrid w:val="0"/>
                    <w:jc w:val="center"/>
                    <w:rPr>
                      <w:rFonts w:hint="eastAsia" w:ascii="Times New Roman" w:hAnsi="Times New Roman" w:eastAsia="仿宋" w:cs="Times New Roman"/>
                      <w:b/>
                      <w:color w:val="auto"/>
                      <w:kern w:val="2"/>
                      <w:sz w:val="21"/>
                      <w:szCs w:val="24"/>
                      <w:highlight w:val="none"/>
                      <w:lang w:val="en-US" w:eastAsia="zh-CN" w:bidi="ar-SA"/>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方位</w:t>
                  </w:r>
                </w:p>
              </w:tc>
              <w:tc>
                <w:tcPr>
                  <w:tcW w:w="813" w:type="dxa"/>
                  <w:vMerge w:val="restart"/>
                  <w:shd w:val="clear" w:color="auto" w:fill="auto"/>
                  <w:vAlign w:val="center"/>
                </w:tcPr>
                <w:p>
                  <w:pPr>
                    <w:adjustRightInd w:val="0"/>
                    <w:snapToGrid w:val="0"/>
                    <w:jc w:val="center"/>
                    <w:rPr>
                      <w:rFonts w:hint="eastAsia" w:ascii="Times New Roman" w:hAnsi="Times New Roman" w:eastAsia="宋体" w:cs="Times New Roman"/>
                      <w:b/>
                      <w:color w:val="auto"/>
                      <w:kern w:val="2"/>
                      <w:sz w:val="21"/>
                      <w:szCs w:val="22"/>
                      <w:highlight w:val="none"/>
                      <w:lang w:val="en-US" w:eastAsia="zh-CN" w:bidi="ar-SA"/>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vMerge w:val="continue"/>
                </w:tcPr>
                <w:p>
                  <w:pPr>
                    <w:snapToGrid w:val="0"/>
                    <w:jc w:val="center"/>
                    <w:rPr>
                      <w:rFonts w:hint="eastAsia" w:ascii="Times New Roman" w:hAnsi="Times New Roman" w:eastAsia="宋体" w:cs="Times New Roman"/>
                      <w:color w:val="auto"/>
                      <w:highlight w:val="none"/>
                      <w:lang w:val="en-US" w:eastAsia="zh-CN"/>
                    </w:rPr>
                  </w:pP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经度（E）</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纬度（N）</w:t>
                  </w:r>
                </w:p>
              </w:tc>
              <w:tc>
                <w:tcPr>
                  <w:tcW w:w="1196" w:type="dxa"/>
                  <w:vMerge w:val="continue"/>
                </w:tcPr>
                <w:p>
                  <w:pPr>
                    <w:jc w:val="center"/>
                    <w:rPr>
                      <w:rFonts w:hint="eastAsia" w:cs="Times New Roman"/>
                      <w:b w:val="0"/>
                      <w:bCs/>
                      <w:color w:val="auto"/>
                      <w:szCs w:val="22"/>
                      <w:highlight w:val="none"/>
                      <w:lang w:val="en-US" w:eastAsia="zh-CN"/>
                    </w:rPr>
                  </w:pPr>
                </w:p>
              </w:tc>
              <w:tc>
                <w:tcPr>
                  <w:tcW w:w="1206" w:type="dxa"/>
                  <w:vMerge w:val="continue"/>
                </w:tcPr>
                <w:p>
                  <w:pPr>
                    <w:jc w:val="center"/>
                    <w:rPr>
                      <w:rFonts w:hint="eastAsia" w:cs="Times New Roman"/>
                      <w:color w:val="auto"/>
                      <w:highlight w:val="none"/>
                      <w:lang w:val="en-US" w:eastAsia="zh-CN"/>
                    </w:rPr>
                  </w:pPr>
                </w:p>
              </w:tc>
              <w:tc>
                <w:tcPr>
                  <w:tcW w:w="825" w:type="dxa"/>
                  <w:vMerge w:val="continue"/>
                </w:tcPr>
                <w:p>
                  <w:pPr>
                    <w:jc w:val="center"/>
                    <w:rPr>
                      <w:rFonts w:hint="eastAsia" w:ascii="Times New Roman" w:hAnsi="Times New Roman" w:cs="Times New Roman"/>
                      <w:color w:val="auto"/>
                      <w:sz w:val="21"/>
                      <w:szCs w:val="21"/>
                      <w:highlight w:val="none"/>
                      <w:lang w:eastAsia="zh-CN"/>
                    </w:rPr>
                  </w:pPr>
                </w:p>
              </w:tc>
              <w:tc>
                <w:tcPr>
                  <w:tcW w:w="675" w:type="dxa"/>
                  <w:vMerge w:val="continue"/>
                </w:tcPr>
                <w:p>
                  <w:pPr>
                    <w:snapToGrid w:val="0"/>
                    <w:jc w:val="center"/>
                    <w:rPr>
                      <w:rFonts w:hint="eastAsia" w:cs="Times New Roman"/>
                      <w:color w:val="auto"/>
                      <w:highlight w:val="none"/>
                      <w:lang w:val="en-US" w:eastAsia="zh-CN"/>
                    </w:rPr>
                  </w:pPr>
                </w:p>
              </w:tc>
              <w:tc>
                <w:tcPr>
                  <w:tcW w:w="813" w:type="dxa"/>
                  <w:vMerge w:val="continue"/>
                </w:tcPr>
                <w:p>
                  <w:pPr>
                    <w:snapToGrid w:val="0"/>
                    <w:jc w:val="center"/>
                    <w:rPr>
                      <w:rFonts w:hint="eastAsia" w:cs="Times New Roman"/>
                      <w:color w:val="auto"/>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shd w:val="clear" w:color="auto" w:fill="auto"/>
                  <w:vAlign w:val="center"/>
                </w:tcPr>
                <w:p>
                  <w:pPr>
                    <w:snapToGrid w:val="0"/>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大气</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106°</w:t>
                  </w:r>
                  <w:r>
                    <w:rPr>
                      <w:rFonts w:hint="eastAsia" w:cs="Times New Roman"/>
                      <w:color w:val="auto"/>
                      <w:highlight w:val="none"/>
                      <w:lang w:val="en-US" w:eastAsia="zh-CN"/>
                    </w:rPr>
                    <w:t>22</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57.70</w:t>
                  </w:r>
                </w:p>
              </w:tc>
              <w:tc>
                <w:tcPr>
                  <w:tcW w:w="0" w:type="auto"/>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35°</w:t>
                  </w:r>
                  <w:r>
                    <w:rPr>
                      <w:rFonts w:hint="eastAsia" w:cs="Times New Roman"/>
                      <w:color w:val="auto"/>
                      <w:highlight w:val="none"/>
                      <w:lang w:val="en-US" w:eastAsia="zh-CN"/>
                    </w:rPr>
                    <w:t>23</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36.57</w:t>
                  </w:r>
                  <w:r>
                    <w:rPr>
                      <w:rFonts w:hint="default" w:ascii="Times New Roman" w:hAnsi="Times New Roman" w:eastAsia="宋体" w:cs="Times New Roman"/>
                      <w:color w:val="auto"/>
                      <w:highlight w:val="none"/>
                      <w:lang w:val="en-US" w:eastAsia="zh-CN"/>
                    </w:rPr>
                    <w:t>″</w:t>
                  </w:r>
                </w:p>
              </w:tc>
              <w:tc>
                <w:tcPr>
                  <w:tcW w:w="0" w:type="auto"/>
                  <w:shd w:val="clear" w:color="auto" w:fill="auto"/>
                  <w:vAlign w:val="center"/>
                </w:tcPr>
                <w:p>
                  <w:pPr>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b w:val="0"/>
                      <w:bCs/>
                      <w:color w:val="auto"/>
                      <w:szCs w:val="22"/>
                      <w:highlight w:val="none"/>
                      <w:lang w:val="en-US" w:eastAsia="zh-CN"/>
                    </w:rPr>
                    <w:t>居民</w:t>
                  </w:r>
                </w:p>
              </w:tc>
              <w:tc>
                <w:tcPr>
                  <w:tcW w:w="0" w:type="auto"/>
                  <w:shd w:val="clear" w:color="auto" w:fill="auto"/>
                  <w:vAlign w:val="center"/>
                </w:tcPr>
                <w:p>
                  <w:pPr>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约100人</w:t>
                  </w:r>
                </w:p>
              </w:tc>
              <w:tc>
                <w:tcPr>
                  <w:tcW w:w="0" w:type="auto"/>
                  <w:shd w:val="clear" w:color="auto" w:fill="auto"/>
                  <w:vAlign w:val="center"/>
                </w:tcPr>
                <w:p>
                  <w:pPr>
                    <w:jc w:val="center"/>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cs="Times New Roman"/>
                      <w:color w:val="auto"/>
                      <w:sz w:val="21"/>
                      <w:szCs w:val="21"/>
                      <w:highlight w:val="none"/>
                      <w:lang w:eastAsia="zh-CN"/>
                    </w:rPr>
                    <w:t>二</w:t>
                  </w:r>
                  <w:r>
                    <w:rPr>
                      <w:rFonts w:hint="default" w:ascii="Times New Roman" w:hAnsi="Times New Roman" w:eastAsia="宋体" w:cs="Times New Roman"/>
                      <w:color w:val="auto"/>
                      <w:sz w:val="21"/>
                      <w:szCs w:val="21"/>
                      <w:highlight w:val="none"/>
                    </w:rPr>
                    <w:t>类</w:t>
                  </w:r>
                </w:p>
              </w:tc>
              <w:tc>
                <w:tcPr>
                  <w:tcW w:w="0" w:type="auto"/>
                  <w:shd w:val="clear" w:color="auto" w:fill="auto"/>
                  <w:vAlign w:val="center"/>
                </w:tcPr>
                <w:p>
                  <w:pPr>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SW</w:t>
                  </w:r>
                </w:p>
              </w:tc>
              <w:tc>
                <w:tcPr>
                  <w:tcW w:w="0" w:type="auto"/>
                  <w:shd w:val="clear" w:color="auto" w:fill="auto"/>
                  <w:vAlign w:val="center"/>
                </w:tcPr>
                <w:p>
                  <w:pPr>
                    <w:snapToGrid w:val="0"/>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190m</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rPr>
                <w:rFonts w:hint="eastAsia" w:eastAsia="仿宋_GB2312" w:cs="Times New Roman"/>
                <w:color w:val="auto"/>
                <w:kern w:val="16"/>
                <w:sz w:val="24"/>
                <w:szCs w:val="24"/>
                <w:highlight w:val="none"/>
                <w:lang w:val="en-US" w:eastAsia="zh-CN" w:bidi="ar-SA"/>
              </w:rPr>
            </w:pPr>
            <w:r>
              <w:rPr>
                <w:rFonts w:hint="eastAsia" w:eastAsia="仿宋_GB2312" w:cs="Times New Roman"/>
                <w:color w:val="auto"/>
                <w:kern w:val="16"/>
                <w:sz w:val="24"/>
                <w:szCs w:val="24"/>
                <w:highlight w:val="none"/>
                <w:lang w:val="en-US" w:eastAsia="zh-CN" w:bidi="ar-SA"/>
              </w:rPr>
              <w:t>本项目敏感目标分布图见图3-1~3-8。</w:t>
            </w:r>
          </w:p>
          <w:p>
            <w:pPr>
              <w:pStyle w:val="2"/>
              <w:jc w:val="center"/>
              <w:rPr>
                <w:rFonts w:hint="eastAsia"/>
                <w:color w:val="auto"/>
                <w:lang w:val="en-US" w:eastAsia="zh-CN"/>
              </w:rPr>
            </w:pPr>
            <w:r>
              <w:rPr>
                <w:rFonts w:hint="eastAsia"/>
                <w:color w:val="auto"/>
                <w:lang w:val="en-US" w:eastAsia="zh-CN"/>
              </w:rPr>
              <w:drawing>
                <wp:inline distT="0" distB="0" distL="114300" distR="114300">
                  <wp:extent cx="5368925" cy="3752215"/>
                  <wp:effectExtent l="0" t="0" r="3175" b="635"/>
                  <wp:docPr id="13" name="图片 13" descr="附图1-5_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13" descr="附图1-5_12"/>
                          <pic:cNvPicPr>
                            <a:picLocks noChangeAspect="true"/>
                          </pic:cNvPicPr>
                        </pic:nvPicPr>
                        <pic:blipFill>
                          <a:blip r:embed="rId11"/>
                          <a:srcRect l="2449" r="2839" b="6391"/>
                          <a:stretch>
                            <a:fillRect/>
                          </a:stretch>
                        </pic:blipFill>
                        <pic:spPr>
                          <a:xfrm>
                            <a:off x="0" y="0"/>
                            <a:ext cx="5368925" cy="3752215"/>
                          </a:xfrm>
                          <a:prstGeom prst="rect">
                            <a:avLst/>
                          </a:prstGeom>
                        </pic:spPr>
                      </pic:pic>
                    </a:graphicData>
                  </a:graphic>
                </wp:inline>
              </w:drawing>
            </w:r>
          </w:p>
          <w:p>
            <w:pPr>
              <w:pStyle w:val="4"/>
              <w:rPr>
                <w:rFonts w:hint="eastAsia"/>
                <w:color w:val="auto"/>
                <w:lang w:val="en-US" w:eastAsia="zh-CN"/>
              </w:rPr>
            </w:pPr>
          </w:p>
          <w:p>
            <w:pPr>
              <w:pStyle w:val="2"/>
              <w:rPr>
                <w:rFonts w:hint="eastAsia"/>
                <w:color w:val="auto"/>
                <w:lang w:val="en-US" w:eastAsia="zh-CN"/>
              </w:rPr>
            </w:pPr>
            <w:r>
              <w:rPr>
                <w:rFonts w:hint="eastAsia"/>
                <w:color w:val="auto"/>
                <w:lang w:val="en-US" w:eastAsia="zh-CN"/>
              </w:rPr>
              <w:drawing>
                <wp:inline distT="0" distB="0" distL="114300" distR="114300">
                  <wp:extent cx="5367655" cy="3473450"/>
                  <wp:effectExtent l="0" t="0" r="0" b="0"/>
                  <wp:docPr id="15" name="图片 15" descr="附图1-5_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15" descr="附图1-5_13"/>
                          <pic:cNvPicPr>
                            <a:picLocks noChangeAspect="true"/>
                          </pic:cNvPicPr>
                        </pic:nvPicPr>
                        <pic:blipFill>
                          <a:blip r:embed="rId12"/>
                          <a:srcRect t="2091" b="6391"/>
                          <a:stretch>
                            <a:fillRect/>
                          </a:stretch>
                        </pic:blipFill>
                        <pic:spPr>
                          <a:xfrm>
                            <a:off x="0" y="0"/>
                            <a:ext cx="5367655" cy="3473450"/>
                          </a:xfrm>
                          <a:prstGeom prst="rect">
                            <a:avLst/>
                          </a:prstGeom>
                        </pic:spPr>
                      </pic:pic>
                    </a:graphicData>
                  </a:graphic>
                </wp:inline>
              </w:drawing>
            </w:r>
          </w:p>
          <w:p>
            <w:pPr>
              <w:pStyle w:val="2"/>
              <w:rPr>
                <w:rFonts w:hint="eastAsia"/>
                <w:color w:val="auto"/>
                <w:lang w:val="en-US" w:eastAsia="zh-CN"/>
              </w:rPr>
            </w:pPr>
            <w:r>
              <w:rPr>
                <w:rFonts w:hint="eastAsia"/>
                <w:color w:val="auto"/>
                <w:lang w:val="en-US" w:eastAsia="zh-CN"/>
              </w:rPr>
              <w:drawing>
                <wp:inline distT="0" distB="0" distL="114300" distR="114300">
                  <wp:extent cx="5367655" cy="3515360"/>
                  <wp:effectExtent l="0" t="0" r="0" b="0"/>
                  <wp:docPr id="16" name="图片 16" descr="附图1-5_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16" descr="附图1-5_13"/>
                          <pic:cNvPicPr>
                            <a:picLocks noChangeAspect="true"/>
                          </pic:cNvPicPr>
                        </pic:nvPicPr>
                        <pic:blipFill>
                          <a:blip r:embed="rId12"/>
                          <a:srcRect t="2275" b="5103"/>
                          <a:stretch>
                            <a:fillRect/>
                          </a:stretch>
                        </pic:blipFill>
                        <pic:spPr>
                          <a:xfrm>
                            <a:off x="0" y="0"/>
                            <a:ext cx="5367655" cy="3515360"/>
                          </a:xfrm>
                          <a:prstGeom prst="rect">
                            <a:avLst/>
                          </a:prstGeom>
                        </pic:spPr>
                      </pic:pic>
                    </a:graphicData>
                  </a:graphic>
                </wp:inline>
              </w:drawing>
            </w:r>
          </w:p>
          <w:p>
            <w:pPr>
              <w:pStyle w:val="2"/>
              <w:jc w:val="center"/>
              <w:rPr>
                <w:rFonts w:hint="eastAsia"/>
                <w:color w:val="auto"/>
                <w:lang w:val="en-US" w:eastAsia="zh-CN"/>
              </w:rPr>
            </w:pPr>
            <w:r>
              <w:rPr>
                <w:rFonts w:hint="eastAsia"/>
                <w:color w:val="auto"/>
                <w:lang w:val="en-US" w:eastAsia="zh-CN"/>
              </w:rPr>
              <w:drawing>
                <wp:inline distT="0" distB="0" distL="114300" distR="114300">
                  <wp:extent cx="5247005" cy="3695065"/>
                  <wp:effectExtent l="0" t="0" r="0" b="0"/>
                  <wp:docPr id="17" name="图片 17" descr="附图1-5_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7" descr="附图1-5_15"/>
                          <pic:cNvPicPr>
                            <a:picLocks noChangeAspect="true"/>
                          </pic:cNvPicPr>
                        </pic:nvPicPr>
                        <pic:blipFill>
                          <a:blip r:embed="rId13"/>
                          <a:srcRect l="651" r="1597" b="2643"/>
                          <a:stretch>
                            <a:fillRect/>
                          </a:stretch>
                        </pic:blipFill>
                        <pic:spPr>
                          <a:xfrm>
                            <a:off x="0" y="0"/>
                            <a:ext cx="5247005" cy="3695065"/>
                          </a:xfrm>
                          <a:prstGeom prst="rect">
                            <a:avLst/>
                          </a:prstGeom>
                        </pic:spPr>
                      </pic:pic>
                    </a:graphicData>
                  </a:graphic>
                </wp:inline>
              </w:drawing>
            </w:r>
          </w:p>
          <w:p>
            <w:pPr>
              <w:pStyle w:val="2"/>
              <w:jc w:val="center"/>
              <w:rPr>
                <w:rFonts w:hint="eastAsia"/>
                <w:color w:val="auto"/>
                <w:lang w:val="en-US" w:eastAsia="zh-CN"/>
              </w:rPr>
            </w:pPr>
            <w:r>
              <w:rPr>
                <w:rFonts w:hint="eastAsia"/>
                <w:color w:val="auto"/>
                <w:lang w:val="en-US" w:eastAsia="zh-CN"/>
              </w:rPr>
              <w:drawing>
                <wp:inline distT="0" distB="0" distL="114300" distR="114300">
                  <wp:extent cx="5349875" cy="3655695"/>
                  <wp:effectExtent l="0" t="0" r="3175" b="1905"/>
                  <wp:docPr id="18" name="图片 18" descr="附图1-5_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18" descr="附图1-5_16"/>
                          <pic:cNvPicPr>
                            <a:picLocks noChangeAspect="true"/>
                          </pic:cNvPicPr>
                        </pic:nvPicPr>
                        <pic:blipFill>
                          <a:blip r:embed="rId14"/>
                          <a:srcRect l="2094" t="2777" r="2248" b="4785"/>
                          <a:stretch>
                            <a:fillRect/>
                          </a:stretch>
                        </pic:blipFill>
                        <pic:spPr>
                          <a:xfrm>
                            <a:off x="0" y="0"/>
                            <a:ext cx="5349875" cy="3655695"/>
                          </a:xfrm>
                          <a:prstGeom prst="rect">
                            <a:avLst/>
                          </a:prstGeom>
                        </pic:spPr>
                      </pic:pic>
                    </a:graphicData>
                  </a:graphic>
                </wp:inline>
              </w:drawing>
            </w:r>
          </w:p>
          <w:p>
            <w:pPr>
              <w:pStyle w:val="2"/>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eastAsia"/>
                <w:color w:val="auto"/>
                <w:lang w:val="en-US" w:eastAsia="zh-CN"/>
              </w:rPr>
            </w:pPr>
          </w:p>
          <w:p>
            <w:pPr>
              <w:pStyle w:val="2"/>
              <w:jc w:val="center"/>
              <w:rPr>
                <w:rFonts w:hint="eastAsia"/>
                <w:color w:val="auto"/>
                <w:lang w:val="en-US" w:eastAsia="zh-CN"/>
              </w:rPr>
            </w:pPr>
            <w:r>
              <w:rPr>
                <w:rFonts w:hint="eastAsia"/>
                <w:color w:val="auto"/>
                <w:lang w:val="en-US" w:eastAsia="zh-CN"/>
              </w:rPr>
              <w:drawing>
                <wp:inline distT="0" distB="0" distL="114300" distR="114300">
                  <wp:extent cx="5367655" cy="3510915"/>
                  <wp:effectExtent l="0" t="0" r="0" b="0"/>
                  <wp:docPr id="19" name="图片 19" descr="附图1-5_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9" descr="附图1-5_17"/>
                          <pic:cNvPicPr>
                            <a:picLocks noChangeAspect="true"/>
                          </pic:cNvPicPr>
                        </pic:nvPicPr>
                        <pic:blipFill>
                          <a:blip r:embed="rId15"/>
                          <a:srcRect t="2158" b="5337"/>
                          <a:stretch>
                            <a:fillRect/>
                          </a:stretch>
                        </pic:blipFill>
                        <pic:spPr>
                          <a:xfrm>
                            <a:off x="0" y="0"/>
                            <a:ext cx="5367655" cy="3510915"/>
                          </a:xfrm>
                          <a:prstGeom prst="rect">
                            <a:avLst/>
                          </a:prstGeom>
                        </pic:spPr>
                      </pic:pic>
                    </a:graphicData>
                  </a:graphic>
                </wp:inline>
              </w:drawing>
            </w:r>
          </w:p>
          <w:p>
            <w:pPr>
              <w:pStyle w:val="2"/>
              <w:jc w:val="center"/>
              <w:rPr>
                <w:rFonts w:hint="eastAsia"/>
                <w:color w:val="auto"/>
                <w:lang w:val="en-US" w:eastAsia="zh-CN"/>
              </w:rPr>
            </w:pPr>
            <w:r>
              <w:rPr>
                <w:rFonts w:hint="eastAsia"/>
                <w:color w:val="auto"/>
                <w:lang w:val="en-US" w:eastAsia="zh-CN"/>
              </w:rPr>
              <w:drawing>
                <wp:inline distT="0" distB="0" distL="114300" distR="114300">
                  <wp:extent cx="5466080" cy="3769360"/>
                  <wp:effectExtent l="0" t="0" r="1270" b="2540"/>
                  <wp:docPr id="20" name="图片 20" descr="附图1-5_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20" descr="附图1-5_18"/>
                          <pic:cNvPicPr>
                            <a:picLocks noChangeAspect="true"/>
                          </pic:cNvPicPr>
                        </pic:nvPicPr>
                        <pic:blipFill>
                          <a:blip r:embed="rId16"/>
                          <a:srcRect l="6128" t="7947" r="5466" b="5839"/>
                          <a:stretch>
                            <a:fillRect/>
                          </a:stretch>
                        </pic:blipFill>
                        <pic:spPr>
                          <a:xfrm>
                            <a:off x="0" y="0"/>
                            <a:ext cx="5466080" cy="3769360"/>
                          </a:xfrm>
                          <a:prstGeom prst="rect">
                            <a:avLst/>
                          </a:prstGeom>
                        </pic:spPr>
                      </pic:pic>
                    </a:graphicData>
                  </a:graphic>
                </wp:inline>
              </w:drawing>
            </w:r>
          </w:p>
          <w:p>
            <w:pPr>
              <w:pStyle w:val="2"/>
              <w:keepNext w:val="0"/>
              <w:keepLines w:val="0"/>
              <w:pageBreakBefore w:val="0"/>
              <w:widowControl w:val="0"/>
              <w:kinsoku/>
              <w:wordWrap/>
              <w:overflowPunct/>
              <w:topLinePunct w:val="0"/>
              <w:autoSpaceDE w:val="0"/>
              <w:autoSpaceDN w:val="0"/>
              <w:bidi w:val="0"/>
              <w:adjustRightInd w:val="0"/>
              <w:snapToGrid/>
              <w:spacing w:after="0" w:line="240" w:lineRule="auto"/>
              <w:textAlignment w:val="auto"/>
              <w:rPr>
                <w:rFonts w:hint="eastAsia"/>
                <w:color w:val="auto"/>
                <w:lang w:val="en-US" w:eastAsia="zh-CN"/>
              </w:rPr>
            </w:pPr>
          </w:p>
          <w:p>
            <w:pPr>
              <w:pStyle w:val="2"/>
              <w:jc w:val="center"/>
              <w:rPr>
                <w:rFonts w:hint="eastAsia"/>
                <w:color w:val="auto"/>
                <w:lang w:val="en-US" w:eastAsia="zh-CN"/>
              </w:rPr>
            </w:pPr>
            <w:r>
              <w:rPr>
                <w:rFonts w:hint="eastAsia"/>
                <w:color w:val="auto"/>
                <w:lang w:val="en-US" w:eastAsia="zh-CN"/>
              </w:rPr>
              <w:drawing>
                <wp:inline distT="0" distB="0" distL="114300" distR="114300">
                  <wp:extent cx="5337810" cy="3519805"/>
                  <wp:effectExtent l="0" t="0" r="15240" b="4445"/>
                  <wp:docPr id="21" name="图片 21" descr="附图1-5_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1" descr="附图1-5_19"/>
                          <pic:cNvPicPr>
                            <a:picLocks noChangeAspect="true"/>
                          </pic:cNvPicPr>
                        </pic:nvPicPr>
                        <pic:blipFill>
                          <a:blip r:embed="rId17"/>
                          <a:srcRect l="3159" t="4802" r="3372" b="8031"/>
                          <a:stretch>
                            <a:fillRect/>
                          </a:stretch>
                        </pic:blipFill>
                        <pic:spPr>
                          <a:xfrm>
                            <a:off x="0" y="0"/>
                            <a:ext cx="5337810" cy="351980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textAlignment w:val="auto"/>
              <w:rPr>
                <w:rFonts w:hint="default" w:ascii="Times New Roman" w:hAnsi="Times New Roman" w:eastAsia="仿宋_GB2312" w:cs="Times New Roman"/>
                <w:b/>
                <w:bCs/>
                <w:color w:val="auto"/>
                <w:sz w:val="24"/>
                <w:szCs w:val="32"/>
                <w:highlight w:val="none"/>
                <w:lang w:val="en-US" w:eastAsia="zh-CN"/>
              </w:rPr>
            </w:pPr>
            <w:r>
              <w:rPr>
                <w:rFonts w:hint="eastAsia" w:eastAsia="仿宋_GB2312" w:cs="Times New Roman"/>
                <w:b/>
                <w:bCs/>
                <w:color w:val="auto"/>
                <w:sz w:val="24"/>
                <w:szCs w:val="32"/>
                <w:highlight w:val="none"/>
                <w:lang w:val="en-US" w:eastAsia="zh-CN"/>
              </w:rPr>
              <w:t>4、</w:t>
            </w:r>
            <w:r>
              <w:rPr>
                <w:rFonts w:hint="default" w:ascii="Times New Roman" w:hAnsi="Times New Roman" w:eastAsia="仿宋_GB2312" w:cs="Times New Roman"/>
                <w:b/>
                <w:bCs/>
                <w:color w:val="auto"/>
                <w:sz w:val="24"/>
                <w:szCs w:val="32"/>
                <w:highlight w:val="none"/>
                <w:lang w:val="en-US" w:eastAsia="zh-CN"/>
              </w:rPr>
              <w:t>地下水环境</w:t>
            </w:r>
          </w:p>
          <w:p>
            <w:pPr>
              <w:pStyle w:val="42"/>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仿宋_GB2312" w:cs="Times New Roman"/>
                <w:color w:val="auto"/>
                <w:kern w:val="0"/>
                <w:sz w:val="24"/>
                <w:highlight w:val="none"/>
              </w:rPr>
            </w:pPr>
            <w:r>
              <w:rPr>
                <w:rFonts w:hint="default" w:ascii="Times New Roman" w:hAnsi="Times New Roman" w:eastAsia="仿宋_GB2312" w:cs="Times New Roman"/>
                <w:b w:val="0"/>
                <w:bCs w:val="0"/>
                <w:color w:val="auto"/>
                <w:sz w:val="24"/>
                <w:szCs w:val="24"/>
                <w:lang w:val="en-US" w:eastAsia="zh-CN"/>
              </w:rPr>
              <w:t>本项目</w:t>
            </w:r>
            <w:r>
              <w:rPr>
                <w:rFonts w:hint="eastAsia" w:ascii="Times New Roman" w:hAnsi="Times New Roman" w:eastAsia="仿宋_GB2312" w:cs="Times New Roman"/>
                <w:b w:val="0"/>
                <w:bCs w:val="0"/>
                <w:color w:val="auto"/>
                <w:sz w:val="24"/>
                <w:szCs w:val="24"/>
                <w:lang w:val="en-US" w:eastAsia="zh-CN"/>
              </w:rPr>
              <w:t>周边</w:t>
            </w:r>
            <w:r>
              <w:rPr>
                <w:rFonts w:hint="default" w:ascii="Times New Roman" w:hAnsi="Times New Roman" w:eastAsia="仿宋_GB2312" w:cs="Times New Roman"/>
                <w:b w:val="0"/>
                <w:bCs w:val="0"/>
                <w:color w:val="auto"/>
                <w:sz w:val="24"/>
                <w:szCs w:val="24"/>
                <w:lang w:val="en-US" w:eastAsia="zh-CN"/>
              </w:rPr>
              <w:t>无地下水环境保护目标。</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9157" w:hRule="atLeast"/>
          <w:jc w:val="center"/>
        </w:trPr>
        <w:tc>
          <w:tcPr>
            <w:tcW w:w="532" w:type="dxa"/>
            <w:tcBorders>
              <w:tl2br w:val="nil"/>
              <w:tr2bl w:val="nil"/>
            </w:tcBorders>
            <w:tcMar>
              <w:left w:w="28" w:type="dxa"/>
              <w:right w:w="28" w:type="dxa"/>
            </w:tcMar>
            <w:vAlign w:val="center"/>
          </w:tcPr>
          <w:p>
            <w:pPr>
              <w:adjustRightInd w:val="0"/>
              <w:snapToGrid w:val="0"/>
              <w:jc w:val="center"/>
              <w:rPr>
                <w:rFonts w:hint="default" w:ascii="Times New Roman" w:hAnsi="Times New Roman" w:eastAsia="仿宋_GB2312" w:cs="Times New Roman"/>
                <w:b/>
                <w:bCs/>
                <w:color w:val="auto"/>
                <w:kern w:val="0"/>
                <w:sz w:val="24"/>
                <w:highlight w:val="none"/>
                <w:lang w:eastAsia="zh-CN"/>
              </w:rPr>
            </w:pPr>
          </w:p>
          <w:p>
            <w:pPr>
              <w:adjustRightInd w:val="0"/>
              <w:snapToGrid w:val="0"/>
              <w:jc w:val="center"/>
              <w:rPr>
                <w:rFonts w:hint="default" w:ascii="Times New Roman" w:hAnsi="Times New Roman" w:eastAsia="仿宋_GB2312" w:cs="Times New Roman"/>
                <w:b/>
                <w:bCs/>
                <w:color w:val="auto"/>
                <w:kern w:val="0"/>
                <w:sz w:val="24"/>
                <w:highlight w:val="none"/>
                <w:lang w:eastAsia="zh-CN"/>
              </w:rPr>
            </w:pPr>
          </w:p>
          <w:p>
            <w:pPr>
              <w:adjustRightInd w:val="0"/>
              <w:snapToGrid w:val="0"/>
              <w:jc w:val="center"/>
              <w:rPr>
                <w:rFonts w:hint="default" w:ascii="Times New Roman" w:hAnsi="Times New Roman" w:eastAsia="仿宋_GB2312" w:cs="Times New Roman"/>
                <w:b/>
                <w:bCs/>
                <w:color w:val="auto"/>
                <w:kern w:val="0"/>
                <w:sz w:val="24"/>
                <w:highlight w:val="none"/>
                <w:lang w:eastAsia="zh-CN"/>
              </w:rPr>
            </w:pPr>
          </w:p>
          <w:p>
            <w:pPr>
              <w:adjustRightInd w:val="0"/>
              <w:snapToGrid w:val="0"/>
              <w:jc w:val="center"/>
              <w:rPr>
                <w:rFonts w:hint="default" w:ascii="Times New Roman" w:hAnsi="Times New Roman" w:eastAsia="仿宋_GB2312" w:cs="Times New Roman"/>
                <w:b/>
                <w:bCs/>
                <w:color w:val="auto"/>
                <w:kern w:val="0"/>
                <w:sz w:val="24"/>
                <w:highlight w:val="none"/>
                <w:lang w:eastAsia="zh-CN"/>
              </w:rPr>
            </w:pPr>
          </w:p>
          <w:p>
            <w:pPr>
              <w:adjustRightInd w:val="0"/>
              <w:snapToGrid w:val="0"/>
              <w:jc w:val="center"/>
              <w:rPr>
                <w:rFonts w:hint="default" w:ascii="Times New Roman" w:hAnsi="Times New Roman" w:eastAsia="仿宋_GB2312" w:cs="Times New Roman"/>
                <w:b/>
                <w:bCs/>
                <w:color w:val="auto"/>
                <w:kern w:val="0"/>
                <w:sz w:val="24"/>
                <w:highlight w:val="none"/>
                <w:lang w:eastAsia="zh-CN"/>
              </w:rPr>
            </w:pPr>
          </w:p>
          <w:p>
            <w:pPr>
              <w:adjustRightInd w:val="0"/>
              <w:snapToGrid w:val="0"/>
              <w:jc w:val="center"/>
              <w:rPr>
                <w:rFonts w:hint="default" w:ascii="Times New Roman" w:hAnsi="Times New Roman" w:eastAsia="仿宋_GB2312" w:cs="Times New Roman"/>
                <w:b/>
                <w:bCs/>
                <w:color w:val="auto"/>
                <w:kern w:val="0"/>
                <w:sz w:val="24"/>
                <w:highlight w:val="none"/>
                <w:lang w:eastAsia="zh-CN"/>
              </w:rPr>
            </w:pPr>
          </w:p>
          <w:p>
            <w:pPr>
              <w:adjustRightInd w:val="0"/>
              <w:snapToGrid w:val="0"/>
              <w:jc w:val="center"/>
              <w:rPr>
                <w:rFonts w:hint="default" w:ascii="Times New Roman" w:hAnsi="Times New Roman" w:eastAsia="仿宋_GB2312" w:cs="Times New Roman"/>
                <w:b/>
                <w:bCs/>
                <w:color w:val="auto"/>
                <w:kern w:val="0"/>
                <w:sz w:val="24"/>
                <w:highlight w:val="none"/>
                <w:lang w:eastAsia="zh-CN"/>
              </w:rPr>
            </w:pPr>
          </w:p>
          <w:p>
            <w:pPr>
              <w:adjustRightInd w:val="0"/>
              <w:snapToGrid w:val="0"/>
              <w:jc w:val="center"/>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r>
              <w:rPr>
                <w:rFonts w:hint="default" w:ascii="Times New Roman" w:hAnsi="Times New Roman" w:eastAsia="仿宋_GB2312" w:cs="Times New Roman"/>
                <w:b/>
                <w:bCs/>
                <w:color w:val="auto"/>
                <w:kern w:val="0"/>
                <w:sz w:val="24"/>
                <w:highlight w:val="none"/>
                <w:lang w:eastAsia="zh-CN"/>
              </w:rPr>
              <w:t>评价标准</w:t>
            </w:r>
          </w:p>
          <w:p>
            <w:pPr>
              <w:pStyle w:val="13"/>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pStyle w:val="13"/>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pStyle w:val="13"/>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pStyle w:val="13"/>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pStyle w:val="13"/>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pStyle w:val="13"/>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pStyle w:val="13"/>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pStyle w:val="13"/>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pStyle w:val="13"/>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pStyle w:val="13"/>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pStyle w:val="13"/>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pStyle w:val="42"/>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42"/>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42"/>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42"/>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42"/>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42"/>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42"/>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42"/>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2"/>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
              <w:rPr>
                <w:rFonts w:hint="default" w:ascii="Times New Roman" w:hAnsi="Times New Roman" w:eastAsia="仿宋_GB2312" w:cs="Times New Roman"/>
                <w:b/>
                <w:bCs/>
                <w:color w:val="auto"/>
                <w:kern w:val="0"/>
                <w:sz w:val="24"/>
                <w:highlight w:val="none"/>
                <w:lang w:eastAsia="zh-CN"/>
              </w:rPr>
            </w:pPr>
          </w:p>
          <w:p>
            <w:pPr>
              <w:pStyle w:val="42"/>
              <w:rPr>
                <w:rFonts w:hint="default" w:ascii="Times New Roman" w:hAnsi="Times New Roman" w:eastAsia="仿宋_GB2312" w:cs="Times New Roman"/>
                <w:b/>
                <w:bCs/>
                <w:color w:val="auto"/>
                <w:kern w:val="0"/>
                <w:sz w:val="24"/>
                <w:highlight w:val="none"/>
                <w:lang w:eastAsia="zh-CN"/>
              </w:rPr>
            </w:pPr>
          </w:p>
          <w:p>
            <w:pPr>
              <w:rPr>
                <w:rFonts w:hint="default" w:ascii="Times New Roman" w:hAnsi="Times New Roman" w:eastAsia="仿宋_GB2312" w:cs="Times New Roman"/>
                <w:b/>
                <w:bCs/>
                <w:color w:val="auto"/>
                <w:kern w:val="0"/>
                <w:sz w:val="24"/>
                <w:highlight w:val="none"/>
                <w:lang w:eastAsia="zh-CN"/>
              </w:rPr>
            </w:pPr>
          </w:p>
          <w:p>
            <w:pPr>
              <w:pStyle w:val="42"/>
              <w:rPr>
                <w:rFonts w:hint="default"/>
                <w:color w:val="auto"/>
                <w:highlight w:val="none"/>
                <w:lang w:eastAsia="zh-CN"/>
              </w:rPr>
            </w:pPr>
          </w:p>
          <w:p>
            <w:pPr>
              <w:pStyle w:val="13"/>
              <w:keepNext w:val="0"/>
              <w:keepLines w:val="0"/>
              <w:pageBreakBefore w:val="0"/>
              <w:widowControl w:val="0"/>
              <w:kinsoku/>
              <w:wordWrap/>
              <w:overflowPunct/>
              <w:topLinePunct w:val="0"/>
              <w:autoSpaceDE/>
              <w:autoSpaceDN/>
              <w:bidi w:val="0"/>
              <w:spacing w:line="240" w:lineRule="auto"/>
              <w:ind w:left="0"/>
              <w:jc w:val="both"/>
              <w:textAlignment w:val="auto"/>
              <w:rPr>
                <w:rFonts w:hint="default" w:ascii="Times New Roman" w:hAnsi="Times New Roman" w:eastAsia="仿宋_GB2312" w:cs="Times New Roman"/>
                <w:b/>
                <w:bCs/>
                <w:color w:val="auto"/>
                <w:kern w:val="0"/>
                <w:sz w:val="24"/>
                <w:highlight w:val="none"/>
                <w:lang w:eastAsia="zh-CN"/>
              </w:rPr>
            </w:pPr>
          </w:p>
          <w:p>
            <w:pPr>
              <w:keepNext w:val="0"/>
              <w:keepLines w:val="0"/>
              <w:pageBreakBefore w:val="0"/>
              <w:widowControl w:val="0"/>
              <w:kinsoku/>
              <w:wordWrap/>
              <w:overflowPunct/>
              <w:topLinePunct w:val="0"/>
              <w:autoSpaceDE/>
              <w:autoSpaceDN/>
              <w:bidi w:val="0"/>
              <w:spacing w:line="240" w:lineRule="auto"/>
              <w:ind w:left="0"/>
              <w:jc w:val="center"/>
              <w:textAlignment w:val="auto"/>
              <w:rPr>
                <w:rFonts w:hint="default" w:ascii="Times New Roman" w:hAnsi="Times New Roman" w:eastAsia="仿宋_GB2312" w:cs="Times New Roman"/>
                <w:b/>
                <w:bCs/>
                <w:color w:val="auto"/>
                <w:kern w:val="0"/>
                <w:sz w:val="24"/>
                <w:highlight w:val="none"/>
                <w:lang w:eastAsia="zh-CN"/>
              </w:rPr>
            </w:pPr>
          </w:p>
          <w:p>
            <w:pPr>
              <w:rPr>
                <w:rFonts w:hint="default"/>
                <w:color w:val="auto"/>
                <w:highlight w:val="none"/>
                <w:lang w:eastAsia="zh-CN"/>
              </w:rPr>
            </w:pPr>
          </w:p>
        </w:tc>
        <w:tc>
          <w:tcPr>
            <w:tcW w:w="8669" w:type="dxa"/>
            <w:tcBorders>
              <w:tl2br w:val="nil"/>
              <w:tr2bl w:val="nil"/>
            </w:tcBorders>
          </w:tcPr>
          <w:p>
            <w:pPr>
              <w:adjustRightInd w:val="0"/>
              <w:spacing w:line="360" w:lineRule="auto"/>
              <w:rPr>
                <w:rFonts w:hint="default" w:ascii="Times New Roman" w:hAnsi="Times New Roman" w:eastAsia="仿宋_GB2312" w:cs="Times New Roman"/>
                <w:b/>
                <w:bCs/>
                <w:color w:val="auto"/>
                <w:kern w:val="0"/>
                <w:sz w:val="24"/>
                <w:highlight w:val="none"/>
                <w:lang w:val="en-US" w:eastAsia="zh-CN"/>
              </w:rPr>
            </w:pPr>
            <w:r>
              <w:rPr>
                <w:rFonts w:hint="default" w:ascii="Times New Roman" w:hAnsi="Times New Roman" w:eastAsia="仿宋_GB2312" w:cs="Times New Roman"/>
                <w:b/>
                <w:bCs/>
                <w:color w:val="auto"/>
                <w:kern w:val="0"/>
                <w:sz w:val="24"/>
                <w:highlight w:val="none"/>
                <w:lang w:val="en-US" w:eastAsia="zh-CN"/>
              </w:rPr>
              <w:t>1、环境质量标准</w:t>
            </w:r>
          </w:p>
          <w:p>
            <w:pPr>
              <w:adjustRightInd w:val="0"/>
              <w:spacing w:line="360" w:lineRule="auto"/>
              <w:ind w:firstLine="480" w:firstLineChars="200"/>
              <w:jc w:val="left"/>
              <w:rPr>
                <w:rFonts w:hint="default" w:eastAsia="仿宋_GB2312" w:cs="Times New Roman"/>
                <w:color w:val="auto"/>
                <w:sz w:val="24"/>
                <w:szCs w:val="32"/>
                <w:highlight w:val="none"/>
                <w:lang w:val="en-US" w:eastAsia="zh-CN"/>
              </w:rPr>
            </w:pPr>
            <w:r>
              <w:rPr>
                <w:rFonts w:hint="default" w:eastAsia="仿宋_GB2312" w:cs="Times New Roman"/>
                <w:color w:val="auto"/>
                <w:sz w:val="24"/>
                <w:szCs w:val="32"/>
                <w:highlight w:val="none"/>
                <w:lang w:eastAsia="zh-CN"/>
              </w:rPr>
              <w:t>评价区环境空气质量执行《环境空气质量标准》（GB3095-2012</w:t>
            </w:r>
            <w:r>
              <w:rPr>
                <w:rFonts w:hint="default" w:eastAsia="仿宋_GB2312" w:cs="Times New Roman"/>
                <w:color w:val="auto"/>
                <w:sz w:val="24"/>
                <w:szCs w:val="32"/>
                <w:highlight w:val="none"/>
                <w:lang w:val="en-US" w:eastAsia="zh-CN"/>
              </w:rPr>
              <w:t>及2018修改单</w:t>
            </w:r>
            <w:r>
              <w:rPr>
                <w:rFonts w:hint="default" w:eastAsia="仿宋_GB2312" w:cs="Times New Roman"/>
                <w:color w:val="auto"/>
                <w:sz w:val="24"/>
                <w:szCs w:val="32"/>
                <w:highlight w:val="none"/>
                <w:lang w:eastAsia="zh-CN"/>
              </w:rPr>
              <w:t>）中二级标准</w:t>
            </w:r>
            <w:r>
              <w:rPr>
                <w:rFonts w:hint="eastAsia" w:eastAsia="仿宋_GB2312" w:cs="Times New Roman"/>
                <w:color w:val="auto"/>
                <w:sz w:val="24"/>
                <w:szCs w:val="32"/>
                <w:highlight w:val="none"/>
                <w:lang w:eastAsia="zh-CN"/>
              </w:rPr>
              <w:t>，</w:t>
            </w:r>
            <w:r>
              <w:rPr>
                <w:rFonts w:hint="default" w:eastAsia="仿宋_GB2312" w:cs="Times New Roman"/>
                <w:color w:val="auto"/>
                <w:sz w:val="24"/>
                <w:szCs w:val="32"/>
                <w:highlight w:val="none"/>
                <w:lang w:eastAsia="zh-CN"/>
              </w:rPr>
              <w:t>具体标准详见下表</w:t>
            </w:r>
            <w:r>
              <w:rPr>
                <w:rFonts w:hint="eastAsia" w:eastAsia="仿宋_GB2312" w:cs="Times New Roman"/>
                <w:color w:val="auto"/>
                <w:sz w:val="24"/>
                <w:szCs w:val="32"/>
                <w:highlight w:val="none"/>
                <w:lang w:val="en-US" w:eastAsia="zh-CN"/>
              </w:rPr>
              <w:t>:</w:t>
            </w:r>
          </w:p>
          <w:p>
            <w:pPr>
              <w:pStyle w:val="17"/>
              <w:adjustRightInd w:val="0"/>
              <w:snapToGrid w:val="0"/>
              <w:ind w:firstLine="42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表</w:t>
            </w:r>
            <w:r>
              <w:rPr>
                <w:rFonts w:hint="eastAsia" w:ascii="Times New Roman" w:hAnsi="Times New Roman" w:cs="Times New Roman"/>
                <w:b w:val="0"/>
                <w:bCs w:val="0"/>
                <w:color w:val="auto"/>
                <w:kern w:val="0"/>
                <w:sz w:val="21"/>
                <w:szCs w:val="21"/>
                <w:highlight w:val="none"/>
                <w:lang w:val="en-US" w:eastAsia="zh-CN" w:bidi="ar-SA"/>
              </w:rPr>
              <w:t>18</w:t>
            </w:r>
            <w:r>
              <w:rPr>
                <w:rFonts w:hint="default" w:ascii="Times New Roman" w:hAnsi="Times New Roman" w:eastAsia="宋体" w:cs="Times New Roman"/>
                <w:b w:val="0"/>
                <w:bCs w:val="0"/>
                <w:color w:val="auto"/>
                <w:kern w:val="0"/>
                <w:sz w:val="21"/>
                <w:szCs w:val="21"/>
                <w:highlight w:val="none"/>
                <w:lang w:val="en-US" w:eastAsia="zh-CN" w:bidi="ar-SA"/>
              </w:rPr>
              <w:t xml:space="preserve">  </w:t>
            </w:r>
            <w:r>
              <w:rPr>
                <w:rFonts w:hint="eastAsia" w:ascii="Times New Roman" w:hAnsi="Times New Roman" w:eastAsia="宋体" w:cs="Times New Roman"/>
                <w:b w:val="0"/>
                <w:bCs w:val="0"/>
                <w:color w:val="auto"/>
                <w:kern w:val="0"/>
                <w:sz w:val="21"/>
                <w:szCs w:val="21"/>
                <w:highlight w:val="none"/>
                <w:lang w:val="en-US" w:eastAsia="zh-CN" w:bidi="ar-SA"/>
              </w:rPr>
              <w:t xml:space="preserve">  </w:t>
            </w:r>
            <w:r>
              <w:rPr>
                <w:rFonts w:hint="default" w:ascii="Times New Roman" w:hAnsi="Times New Roman" w:eastAsia="宋体" w:cs="Times New Roman"/>
                <w:b/>
                <w:bCs/>
                <w:color w:val="auto"/>
                <w:kern w:val="0"/>
                <w:sz w:val="24"/>
                <w:szCs w:val="24"/>
                <w:highlight w:val="none"/>
                <w:lang w:val="en-US" w:eastAsia="zh-CN" w:bidi="ar-SA"/>
              </w:rPr>
              <w:t>《环境空气质量标准》及2018年修改单中二级标准</w:t>
            </w:r>
          </w:p>
          <w:tbl>
            <w:tblPr>
              <w:tblStyle w:val="35"/>
              <w:tblpPr w:leftFromText="180" w:rightFromText="180" w:vertAnchor="text" w:tblpXSpec="center" w:tblpY="1"/>
              <w:tblOverlap w:val="never"/>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85"/>
              <w:gridCol w:w="1626"/>
              <w:gridCol w:w="2274"/>
              <w:gridCol w:w="1721"/>
              <w:gridCol w:w="20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745" w:type="dxa"/>
                  <w:noWrap w:val="0"/>
                  <w:vAlign w:val="center"/>
                </w:tcPr>
                <w:p>
                  <w:pPr>
                    <w:topLinePunct/>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序号</w:t>
                  </w:r>
                </w:p>
              </w:tc>
              <w:tc>
                <w:tcPr>
                  <w:tcW w:w="1545" w:type="dxa"/>
                  <w:noWrap w:val="0"/>
                  <w:vAlign w:val="center"/>
                </w:tcPr>
                <w:p>
                  <w:pPr>
                    <w:topLinePunct/>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污染物名称</w:t>
                  </w:r>
                </w:p>
              </w:tc>
              <w:tc>
                <w:tcPr>
                  <w:tcW w:w="2160" w:type="dxa"/>
                  <w:noWrap w:val="0"/>
                  <w:vAlign w:val="center"/>
                </w:tcPr>
                <w:p>
                  <w:pPr>
                    <w:topLinePunct/>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小时平均（μg/m</w:t>
                  </w:r>
                  <w:r>
                    <w:rPr>
                      <w:rFonts w:hint="default" w:ascii="Times New Roman" w:hAnsi="Times New Roman" w:cs="Times New Roman"/>
                      <w:b/>
                      <w:bCs/>
                      <w:color w:val="auto"/>
                      <w:szCs w:val="21"/>
                      <w:highlight w:val="none"/>
                      <w:vertAlign w:val="superscript"/>
                    </w:rPr>
                    <w:t>3</w:t>
                  </w:r>
                  <w:r>
                    <w:rPr>
                      <w:rFonts w:hint="default" w:ascii="Times New Roman" w:hAnsi="Times New Roman" w:cs="Times New Roman"/>
                      <w:b/>
                      <w:bCs/>
                      <w:color w:val="auto"/>
                      <w:szCs w:val="21"/>
                      <w:highlight w:val="none"/>
                    </w:rPr>
                    <w:t>）</w:t>
                  </w:r>
                </w:p>
              </w:tc>
              <w:tc>
                <w:tcPr>
                  <w:tcW w:w="1635" w:type="dxa"/>
                  <w:noWrap w:val="0"/>
                  <w:vAlign w:val="center"/>
                </w:tcPr>
                <w:p>
                  <w:pPr>
                    <w:topLinePunct/>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24小时平均（μg/m</w:t>
                  </w:r>
                  <w:r>
                    <w:rPr>
                      <w:rFonts w:hint="default" w:ascii="Times New Roman" w:hAnsi="Times New Roman" w:cs="Times New Roman"/>
                      <w:b/>
                      <w:bCs/>
                      <w:color w:val="auto"/>
                      <w:szCs w:val="21"/>
                      <w:highlight w:val="none"/>
                      <w:vertAlign w:val="superscript"/>
                    </w:rPr>
                    <w:t>3</w:t>
                  </w:r>
                  <w:r>
                    <w:rPr>
                      <w:rFonts w:hint="default" w:ascii="Times New Roman" w:hAnsi="Times New Roman" w:cs="Times New Roman"/>
                      <w:b/>
                      <w:bCs/>
                      <w:color w:val="auto"/>
                      <w:szCs w:val="21"/>
                      <w:highlight w:val="none"/>
                    </w:rPr>
                    <w:t>）</w:t>
                  </w:r>
                </w:p>
              </w:tc>
              <w:tc>
                <w:tcPr>
                  <w:tcW w:w="1916" w:type="dxa"/>
                  <w:noWrap w:val="0"/>
                  <w:vAlign w:val="center"/>
                </w:tcPr>
                <w:p>
                  <w:pPr>
                    <w:topLinePunct/>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年均值（μg/m</w:t>
                  </w:r>
                  <w:r>
                    <w:rPr>
                      <w:rFonts w:hint="default" w:ascii="Times New Roman" w:hAnsi="Times New Roman" w:cs="Times New Roman"/>
                      <w:b/>
                      <w:bCs/>
                      <w:color w:val="auto"/>
                      <w:szCs w:val="21"/>
                      <w:highlight w:val="none"/>
                      <w:vertAlign w:val="superscript"/>
                    </w:rPr>
                    <w:t>3</w:t>
                  </w:r>
                  <w:r>
                    <w:rPr>
                      <w:rFonts w:hint="default" w:ascii="Times New Roman" w:hAnsi="Times New Roman" w:cs="Times New Roman"/>
                      <w:b/>
                      <w:bCs/>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5" w:type="dxa"/>
                  <w:noWrap w:val="0"/>
                  <w:vAlign w:val="center"/>
                </w:tcPr>
                <w:p>
                  <w:pPr>
                    <w:topLinePunct/>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1</w:t>
                  </w:r>
                </w:p>
              </w:tc>
              <w:tc>
                <w:tcPr>
                  <w:tcW w:w="15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PM</w:t>
                  </w:r>
                  <w:r>
                    <w:rPr>
                      <w:rFonts w:hint="default" w:ascii="Times New Roman" w:hAnsi="Times New Roman" w:cs="Times New Roman"/>
                      <w:color w:val="auto"/>
                      <w:szCs w:val="21"/>
                      <w:highlight w:val="none"/>
                      <w:vertAlign w:val="subscript"/>
                    </w:rPr>
                    <w:t>10</w:t>
                  </w:r>
                </w:p>
              </w:tc>
              <w:tc>
                <w:tcPr>
                  <w:tcW w:w="2160"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63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150</w:t>
                  </w:r>
                </w:p>
              </w:tc>
              <w:tc>
                <w:tcPr>
                  <w:tcW w:w="1916"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5" w:type="dxa"/>
                  <w:noWrap w:val="0"/>
                  <w:vAlign w:val="center"/>
                </w:tcPr>
                <w:p>
                  <w:pPr>
                    <w:topLinePunct/>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2</w:t>
                  </w:r>
                </w:p>
              </w:tc>
              <w:tc>
                <w:tcPr>
                  <w:tcW w:w="15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SO</w:t>
                  </w:r>
                  <w:r>
                    <w:rPr>
                      <w:rFonts w:hint="default" w:ascii="Times New Roman" w:hAnsi="Times New Roman" w:cs="Times New Roman"/>
                      <w:color w:val="auto"/>
                      <w:szCs w:val="21"/>
                      <w:highlight w:val="none"/>
                      <w:vertAlign w:val="subscript"/>
                    </w:rPr>
                    <w:t>2</w:t>
                  </w:r>
                </w:p>
              </w:tc>
              <w:tc>
                <w:tcPr>
                  <w:tcW w:w="2160"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500</w:t>
                  </w:r>
                </w:p>
              </w:tc>
              <w:tc>
                <w:tcPr>
                  <w:tcW w:w="163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150</w:t>
                  </w:r>
                </w:p>
              </w:tc>
              <w:tc>
                <w:tcPr>
                  <w:tcW w:w="1916"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5" w:type="dxa"/>
                  <w:noWrap w:val="0"/>
                  <w:vAlign w:val="center"/>
                </w:tcPr>
                <w:p>
                  <w:pPr>
                    <w:topLinePunct/>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3</w:t>
                  </w:r>
                </w:p>
              </w:tc>
              <w:tc>
                <w:tcPr>
                  <w:tcW w:w="15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NO</w:t>
                  </w:r>
                  <w:r>
                    <w:rPr>
                      <w:rFonts w:hint="default" w:ascii="Times New Roman" w:hAnsi="Times New Roman" w:cs="Times New Roman"/>
                      <w:color w:val="auto"/>
                      <w:szCs w:val="21"/>
                      <w:highlight w:val="none"/>
                      <w:vertAlign w:val="subscript"/>
                    </w:rPr>
                    <w:t>2</w:t>
                  </w:r>
                </w:p>
              </w:tc>
              <w:tc>
                <w:tcPr>
                  <w:tcW w:w="2160"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200</w:t>
                  </w:r>
                </w:p>
              </w:tc>
              <w:tc>
                <w:tcPr>
                  <w:tcW w:w="163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80</w:t>
                  </w:r>
                </w:p>
              </w:tc>
              <w:tc>
                <w:tcPr>
                  <w:tcW w:w="1916"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5" w:type="dxa"/>
                  <w:noWrap w:val="0"/>
                  <w:vAlign w:val="center"/>
                </w:tcPr>
                <w:p>
                  <w:pPr>
                    <w:topLinePunct/>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4</w:t>
                  </w:r>
                </w:p>
              </w:tc>
              <w:tc>
                <w:tcPr>
                  <w:tcW w:w="15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PM</w:t>
                  </w:r>
                  <w:r>
                    <w:rPr>
                      <w:rFonts w:hint="default" w:ascii="Times New Roman" w:hAnsi="Times New Roman" w:cs="Times New Roman"/>
                      <w:color w:val="auto"/>
                      <w:szCs w:val="21"/>
                      <w:highlight w:val="none"/>
                      <w:vertAlign w:val="subscript"/>
                    </w:rPr>
                    <w:t>2.5</w:t>
                  </w:r>
                </w:p>
              </w:tc>
              <w:tc>
                <w:tcPr>
                  <w:tcW w:w="2160"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63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75</w:t>
                  </w:r>
                </w:p>
              </w:tc>
              <w:tc>
                <w:tcPr>
                  <w:tcW w:w="1916"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745" w:type="dxa"/>
                  <w:noWrap w:val="0"/>
                  <w:vAlign w:val="center"/>
                </w:tcPr>
                <w:p>
                  <w:pPr>
                    <w:topLinePunct/>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5</w:t>
                  </w:r>
                </w:p>
              </w:tc>
              <w:tc>
                <w:tcPr>
                  <w:tcW w:w="15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CO</w:t>
                  </w:r>
                </w:p>
              </w:tc>
              <w:tc>
                <w:tcPr>
                  <w:tcW w:w="2160"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10mg/m</w:t>
                  </w:r>
                  <w:r>
                    <w:rPr>
                      <w:rFonts w:hint="default" w:ascii="Times New Roman" w:hAnsi="Times New Roman" w:cs="Times New Roman"/>
                      <w:color w:val="auto"/>
                      <w:szCs w:val="21"/>
                      <w:highlight w:val="none"/>
                      <w:vertAlign w:val="superscript"/>
                    </w:rPr>
                    <w:t>3</w:t>
                  </w:r>
                </w:p>
              </w:tc>
              <w:tc>
                <w:tcPr>
                  <w:tcW w:w="163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4mg/m</w:t>
                  </w:r>
                  <w:r>
                    <w:rPr>
                      <w:rFonts w:hint="default" w:ascii="Times New Roman" w:hAnsi="Times New Roman" w:cs="Times New Roman"/>
                      <w:color w:val="auto"/>
                      <w:szCs w:val="21"/>
                      <w:highlight w:val="none"/>
                      <w:vertAlign w:val="superscript"/>
                    </w:rPr>
                    <w:t>3</w:t>
                  </w:r>
                </w:p>
              </w:tc>
              <w:tc>
                <w:tcPr>
                  <w:tcW w:w="1916"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5" w:type="dxa"/>
                  <w:noWrap w:val="0"/>
                  <w:vAlign w:val="center"/>
                </w:tcPr>
                <w:p>
                  <w:pPr>
                    <w:topLinePunct/>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6</w:t>
                  </w:r>
                </w:p>
              </w:tc>
              <w:tc>
                <w:tcPr>
                  <w:tcW w:w="15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O</w:t>
                  </w:r>
                  <w:r>
                    <w:rPr>
                      <w:rFonts w:hint="default" w:ascii="Times New Roman" w:hAnsi="Times New Roman" w:cs="Times New Roman"/>
                      <w:color w:val="auto"/>
                      <w:szCs w:val="21"/>
                      <w:highlight w:val="none"/>
                      <w:vertAlign w:val="subscript"/>
                    </w:rPr>
                    <w:t>3</w:t>
                  </w:r>
                </w:p>
              </w:tc>
              <w:tc>
                <w:tcPr>
                  <w:tcW w:w="2160"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200</w:t>
                  </w:r>
                </w:p>
              </w:tc>
              <w:tc>
                <w:tcPr>
                  <w:tcW w:w="163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160（日最大8小时平均）</w:t>
                  </w:r>
                </w:p>
              </w:tc>
              <w:tc>
                <w:tcPr>
                  <w:tcW w:w="1916"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bl>
          <w:p>
            <w:pPr>
              <w:adjustRightInd w:val="0"/>
              <w:spacing w:line="360" w:lineRule="auto"/>
              <w:rPr>
                <w:rFonts w:hint="default" w:ascii="Times New Roman" w:hAnsi="Times New Roman" w:eastAsia="仿宋_GB2312" w:cs="Times New Roman"/>
                <w:b/>
                <w:bCs/>
                <w:color w:val="auto"/>
                <w:kern w:val="0"/>
                <w:sz w:val="24"/>
                <w:szCs w:val="24"/>
                <w:highlight w:val="none"/>
                <w:lang w:val="en-US" w:eastAsia="zh-CN"/>
              </w:rPr>
            </w:pPr>
            <w:r>
              <w:rPr>
                <w:rFonts w:hint="eastAsia" w:ascii="Times New Roman" w:hAnsi="Times New Roman" w:eastAsia="仿宋_GB2312" w:cs="Times New Roman"/>
                <w:b/>
                <w:bCs/>
                <w:color w:val="auto"/>
                <w:kern w:val="0"/>
                <w:sz w:val="24"/>
                <w:szCs w:val="24"/>
                <w:highlight w:val="none"/>
                <w:lang w:val="en-US" w:eastAsia="zh-CN"/>
              </w:rPr>
              <w:t>2、地表水环境</w:t>
            </w:r>
          </w:p>
          <w:p>
            <w:pPr>
              <w:keepNext w:val="0"/>
              <w:keepLines w:val="0"/>
              <w:pageBreakBefore w:val="0"/>
              <w:kinsoku/>
              <w:overflowPunct/>
              <w:topLinePunct w:val="0"/>
              <w:autoSpaceDE/>
              <w:autoSpaceDN/>
              <w:bidi w:val="0"/>
              <w:adjustRightInd/>
              <w:snapToGrid/>
              <w:spacing w:line="360" w:lineRule="auto"/>
              <w:ind w:firstLine="480" w:firstLineChars="200"/>
              <w:rPr>
                <w:rFonts w:hint="default" w:ascii="Times New Roman" w:hAnsi="Times New Roman" w:eastAsia="仿宋_GB2312" w:cs="Times New Roman"/>
                <w:color w:val="auto"/>
                <w:sz w:val="24"/>
              </w:rPr>
            </w:pPr>
            <w:r>
              <w:rPr>
                <w:rFonts w:hint="eastAsia" w:ascii="Times New Roman" w:hAnsi="Times New Roman" w:eastAsia="仿宋_GB2312" w:cs="Times New Roman"/>
                <w:color w:val="auto"/>
                <w:kern w:val="0"/>
                <w:sz w:val="24"/>
                <w:szCs w:val="24"/>
                <w:highlight w:val="none"/>
                <w:lang w:val="en-US" w:eastAsia="zh-CN" w:bidi="ar-SA"/>
              </w:rPr>
              <w:t>项目所在区域</w:t>
            </w:r>
            <w:r>
              <w:rPr>
                <w:rFonts w:hint="eastAsia" w:eastAsia="仿宋_GB2312" w:cs="Times New Roman"/>
                <w:color w:val="auto"/>
                <w:kern w:val="0"/>
                <w:sz w:val="24"/>
                <w:szCs w:val="24"/>
                <w:highlight w:val="none"/>
                <w:lang w:val="en-US" w:eastAsia="zh-CN" w:bidi="ar-SA"/>
              </w:rPr>
              <w:t>地表水体主要为泾河</w:t>
            </w:r>
            <w:r>
              <w:rPr>
                <w:rFonts w:hint="eastAsia" w:ascii="Times New Roman" w:hAnsi="Times New Roman" w:eastAsia="仿宋_GB2312" w:cs="Times New Roman"/>
                <w:color w:val="auto"/>
                <w:kern w:val="0"/>
                <w:sz w:val="24"/>
                <w:szCs w:val="24"/>
                <w:highlight w:val="none"/>
                <w:lang w:val="en-US" w:eastAsia="zh-CN" w:bidi="ar-SA"/>
              </w:rPr>
              <w:t>。</w:t>
            </w:r>
            <w:r>
              <w:rPr>
                <w:rFonts w:hint="eastAsia" w:eastAsia="仿宋_GB2312" w:cs="Times New Roman"/>
                <w:color w:val="auto"/>
                <w:sz w:val="24"/>
                <w:lang w:val="en-US" w:eastAsia="zh-CN"/>
              </w:rPr>
              <w:t>水质执行《地表水环境质量标准》（GB3838-2002）Ⅱ类标准。</w:t>
            </w:r>
            <w:r>
              <w:rPr>
                <w:rFonts w:hint="default" w:ascii="Times New Roman" w:hAnsi="Times New Roman" w:eastAsia="仿宋_GB2312" w:cs="Times New Roman"/>
                <w:color w:val="auto"/>
                <w:sz w:val="24"/>
              </w:rPr>
              <w:t>项目所在区地表水环境质量执行标准见</w:t>
            </w:r>
            <w:r>
              <w:rPr>
                <w:rFonts w:hint="default" w:ascii="Times New Roman" w:hAnsi="Times New Roman" w:eastAsia="仿宋_GB2312" w:cs="Times New Roman"/>
                <w:color w:val="auto"/>
                <w:sz w:val="24"/>
                <w:lang w:val="en-US" w:eastAsia="zh-CN"/>
              </w:rPr>
              <w:t>下表</w:t>
            </w:r>
            <w:r>
              <w:rPr>
                <w:rFonts w:hint="default" w:ascii="Times New Roman" w:hAnsi="Times New Roman" w:eastAsia="仿宋_GB2312" w:cs="Times New Roman"/>
                <w:color w:val="auto"/>
                <w:sz w:val="24"/>
              </w:rPr>
              <w:t>。</w:t>
            </w:r>
          </w:p>
          <w:p>
            <w:pPr>
              <w:keepNext w:val="0"/>
              <w:keepLines w:val="0"/>
              <w:pageBreakBefore w:val="0"/>
              <w:kinsoku/>
              <w:overflowPunct/>
              <w:topLinePunct w:val="0"/>
              <w:autoSpaceDE/>
              <w:autoSpaceDN/>
              <w:bidi w:val="0"/>
              <w:adjustRightInd/>
              <w:snapToGrid/>
              <w:spacing w:line="240" w:lineRule="auto"/>
              <w:ind w:firstLine="420" w:firstLineChars="200"/>
              <w:rPr>
                <w:color w:val="auto"/>
                <w:sz w:val="24"/>
              </w:rPr>
            </w:pPr>
            <w:r>
              <w:rPr>
                <w:b w:val="0"/>
                <w:bCs w:val="0"/>
                <w:color w:val="auto"/>
                <w:sz w:val="21"/>
                <w:szCs w:val="21"/>
              </w:rPr>
              <w:t>表</w:t>
            </w:r>
            <w:r>
              <w:rPr>
                <w:rFonts w:hint="eastAsia"/>
                <w:b w:val="0"/>
                <w:bCs w:val="0"/>
                <w:color w:val="auto"/>
                <w:sz w:val="21"/>
                <w:szCs w:val="21"/>
                <w:lang w:val="en-US" w:eastAsia="zh-CN"/>
              </w:rPr>
              <w:t>19</w:t>
            </w:r>
            <w:r>
              <w:rPr>
                <w:b w:val="0"/>
                <w:bCs w:val="0"/>
                <w:color w:val="auto"/>
                <w:sz w:val="24"/>
              </w:rPr>
              <w:t xml:space="preserve">  </w:t>
            </w:r>
            <w:r>
              <w:rPr>
                <w:rFonts w:hint="eastAsia"/>
                <w:b w:val="0"/>
                <w:bCs w:val="0"/>
                <w:color w:val="auto"/>
                <w:sz w:val="24"/>
                <w:lang w:val="en-US" w:eastAsia="zh-CN"/>
              </w:rPr>
              <w:t xml:space="preserve">            </w:t>
            </w:r>
            <w:r>
              <w:rPr>
                <w:rFonts w:hint="eastAsia"/>
                <w:b/>
                <w:bCs/>
                <w:color w:val="auto"/>
                <w:sz w:val="24"/>
                <w:lang w:val="en-US" w:eastAsia="zh-CN"/>
              </w:rPr>
              <w:t>地表水环境质量标准一览表</w:t>
            </w:r>
          </w:p>
          <w:tbl>
            <w:tblPr>
              <w:tblStyle w:val="36"/>
              <w:tblW w:w="819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86"/>
              <w:gridCol w:w="2512"/>
              <w:gridCol w:w="2072"/>
              <w:gridCol w:w="232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tblHeader/>
                <w:jc w:val="center"/>
              </w:trPr>
              <w:tc>
                <w:tcPr>
                  <w:tcW w:w="128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251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p>
              </w:tc>
              <w:tc>
                <w:tcPr>
                  <w:tcW w:w="440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标准限值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tblHeader/>
                <w:jc w:val="center"/>
              </w:trPr>
              <w:tc>
                <w:tcPr>
                  <w:tcW w:w="128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p>
              </w:tc>
              <w:tc>
                <w:tcPr>
                  <w:tcW w:w="251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单位</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rPr>
                    <w:t>Ⅱ类标准</w:t>
                  </w:r>
                  <w:r>
                    <w:rPr>
                      <w:rFonts w:hint="eastAsia" w:cs="Times New Roman"/>
                      <w:b/>
                      <w:bCs/>
                      <w:color w:val="auto"/>
                      <w:sz w:val="21"/>
                      <w:szCs w:val="21"/>
                      <w:lang w:val="en-US" w:eastAsia="zh-CN"/>
                    </w:rPr>
                    <w:t>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w:t>
                  </w:r>
                </w:p>
              </w:tc>
              <w:tc>
                <w:tcPr>
                  <w:tcW w:w="2072" w:type="dxa"/>
                  <w:tcBorders>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无量纲</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溶解氧</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高锰酸盐指数</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化学需氧量</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五日生化需氧量</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6</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氨氮</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7</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总磷</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8</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铜</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9</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锌</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氟化物</w:t>
                  </w:r>
                  <w:r>
                    <w:rPr>
                      <w:rFonts w:hint="default" w:ascii="Times New Roman" w:hAnsi="Times New Roman" w:eastAsia="宋体" w:cs="Times New Roman"/>
                      <w:color w:val="auto"/>
                      <w:sz w:val="21"/>
                      <w:szCs w:val="21"/>
                      <w:lang w:eastAsia="zh-CN"/>
                    </w:rPr>
                    <w:t>（以</w:t>
                  </w:r>
                  <w:r>
                    <w:rPr>
                      <w:rFonts w:hint="default" w:ascii="Times New Roman" w:hAnsi="Times New Roman" w:eastAsia="宋体" w:cs="Times New Roman"/>
                      <w:color w:val="auto"/>
                      <w:sz w:val="21"/>
                      <w:szCs w:val="21"/>
                      <w:lang w:val="en-US" w:eastAsia="zh-CN"/>
                    </w:rPr>
                    <w:t>F计</w:t>
                  </w:r>
                  <w:r>
                    <w:rPr>
                      <w:rFonts w:hint="default" w:ascii="Times New Roman" w:hAnsi="Times New Roman" w:eastAsia="宋体" w:cs="Times New Roman"/>
                      <w:color w:val="auto"/>
                      <w:sz w:val="21"/>
                      <w:szCs w:val="21"/>
                      <w:lang w:eastAsia="zh-CN"/>
                    </w:rPr>
                    <w:t>）</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硒</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砷</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汞</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0.00005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镉</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铬（六价）</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铅</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氰化物</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挥发酚</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0.002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石油类</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阴离子表面活性剂</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硫化物</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22</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粪大肠菌群</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个/L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2000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2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23</w:t>
                  </w:r>
                </w:p>
              </w:tc>
              <w:tc>
                <w:tcPr>
                  <w:tcW w:w="25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总氮（湖、库，以N计）</w:t>
                  </w:r>
                </w:p>
              </w:tc>
              <w:tc>
                <w:tcPr>
                  <w:tcW w:w="20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mg/L</w:t>
                  </w:r>
                </w:p>
              </w:tc>
              <w:tc>
                <w:tcPr>
                  <w:tcW w:w="23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≤0.5</w:t>
                  </w:r>
                </w:p>
              </w:tc>
            </w:tr>
          </w:tbl>
          <w:p>
            <w:pPr>
              <w:autoSpaceDE w:val="0"/>
              <w:autoSpaceDN w:val="0"/>
              <w:spacing w:before="120" w:beforeLines="50" w:line="360" w:lineRule="auto"/>
              <w:rPr>
                <w:rFonts w:hint="default" w:ascii="Times New Roman" w:hAnsi="Times New Roman" w:eastAsia="仿宋_GB2312" w:cs="Times New Roman"/>
                <w:b/>
                <w:bCs/>
                <w:color w:val="auto"/>
                <w:sz w:val="24"/>
              </w:rPr>
            </w:pPr>
            <w:r>
              <w:rPr>
                <w:rFonts w:hint="eastAsia" w:ascii="Times New Roman" w:hAnsi="Times New Roman" w:eastAsia="仿宋_GB2312" w:cs="Times New Roman"/>
                <w:b/>
                <w:bCs/>
                <w:color w:val="auto"/>
                <w:sz w:val="24"/>
                <w:lang w:val="en-US" w:eastAsia="zh-CN"/>
              </w:rPr>
              <w:t>3、</w:t>
            </w:r>
            <w:r>
              <w:rPr>
                <w:rFonts w:hint="default" w:ascii="Times New Roman" w:hAnsi="Times New Roman" w:eastAsia="仿宋_GB2312" w:cs="Times New Roman"/>
                <w:b/>
                <w:bCs/>
                <w:color w:val="auto"/>
                <w:sz w:val="24"/>
              </w:rPr>
              <w:t>声环境质量标准</w:t>
            </w:r>
          </w:p>
          <w:p>
            <w:pPr>
              <w:autoSpaceDE w:val="0"/>
              <w:autoSpaceDN w:val="0"/>
              <w:spacing w:line="360" w:lineRule="auto"/>
              <w:ind w:firstLine="480" w:firstLineChars="200"/>
              <w:rPr>
                <w:rFonts w:hint="default" w:ascii="Times New Roman" w:hAnsi="Times New Roman" w:eastAsia="仿宋_GB2312" w:cs="Times New Roman"/>
                <w:color w:val="auto"/>
                <w:sz w:val="24"/>
                <w:lang w:eastAsia="zh-CN"/>
              </w:rPr>
            </w:pPr>
            <w:r>
              <w:rPr>
                <w:rFonts w:hint="default" w:ascii="Times New Roman" w:hAnsi="Times New Roman" w:eastAsia="仿宋_GB2312" w:cs="Times New Roman"/>
                <w:color w:val="auto"/>
                <w:sz w:val="24"/>
              </w:rPr>
              <w:t>本</w:t>
            </w:r>
            <w:r>
              <w:rPr>
                <w:rFonts w:hint="default" w:ascii="Times New Roman" w:hAnsi="Times New Roman" w:eastAsia="仿宋_GB2312" w:cs="Times New Roman"/>
                <w:color w:val="auto"/>
                <w:sz w:val="24"/>
                <w:lang w:eastAsia="zh-CN"/>
              </w:rPr>
              <w:t>项目</w:t>
            </w:r>
            <w:r>
              <w:rPr>
                <w:rFonts w:hint="default" w:ascii="Times New Roman" w:hAnsi="Times New Roman" w:eastAsia="仿宋_GB2312" w:cs="Times New Roman"/>
                <w:color w:val="auto"/>
                <w:sz w:val="24"/>
              </w:rPr>
              <w:t>位于</w:t>
            </w:r>
            <w:r>
              <w:rPr>
                <w:rFonts w:hint="default" w:ascii="Times New Roman" w:hAnsi="Times New Roman" w:eastAsia="仿宋_GB2312" w:cs="Times New Roman"/>
                <w:color w:val="auto"/>
                <w:sz w:val="24"/>
                <w:lang w:eastAsia="zh-CN"/>
              </w:rPr>
              <w:t>固原市</w:t>
            </w:r>
            <w:r>
              <w:rPr>
                <w:rFonts w:hint="eastAsia" w:ascii="Times New Roman" w:hAnsi="Times New Roman" w:eastAsia="仿宋_GB2312" w:cs="Times New Roman"/>
                <w:color w:val="auto"/>
                <w:sz w:val="24"/>
                <w:lang w:val="en-US" w:eastAsia="zh-CN"/>
              </w:rPr>
              <w:t>泾源县</w:t>
            </w:r>
            <w:r>
              <w:rPr>
                <w:rFonts w:hint="eastAsia" w:eastAsia="仿宋_GB2312" w:cs="Times New Roman"/>
                <w:color w:val="auto"/>
                <w:sz w:val="24"/>
                <w:highlight w:val="none"/>
                <w:lang w:val="en-US" w:eastAsia="zh-CN"/>
              </w:rPr>
              <w:t>黄花乡沙塘村和羊槽村、新民乡马河滩村、大湾乡牛营村、香水镇卡子村米岗村、兴盛乡兴盛村、泾河源镇白面村。</w:t>
            </w:r>
            <w:r>
              <w:rPr>
                <w:rFonts w:hint="default" w:ascii="Times New Roman" w:hAnsi="Times New Roman" w:eastAsia="仿宋_GB2312" w:cs="Times New Roman"/>
                <w:color w:val="auto"/>
                <w:sz w:val="24"/>
              </w:rPr>
              <w:t>声环境质量标准执行《声环境质量标准》（GB3096-2008）中的</w:t>
            </w:r>
            <w:r>
              <w:rPr>
                <w:rFonts w:hint="default" w:ascii="Times New Roman" w:hAnsi="Times New Roman" w:eastAsia="仿宋_GB2312" w:cs="Times New Roman"/>
                <w:color w:val="auto"/>
                <w:sz w:val="24"/>
                <w:lang w:val="en-US" w:eastAsia="zh-CN"/>
              </w:rPr>
              <w:t>1</w:t>
            </w:r>
            <w:r>
              <w:rPr>
                <w:rFonts w:hint="default" w:ascii="Times New Roman" w:hAnsi="Times New Roman" w:eastAsia="仿宋_GB2312" w:cs="Times New Roman"/>
                <w:color w:val="auto"/>
                <w:sz w:val="24"/>
              </w:rPr>
              <w:t>类标准，具体见</w:t>
            </w:r>
            <w:r>
              <w:rPr>
                <w:rFonts w:hint="default" w:ascii="Times New Roman" w:hAnsi="Times New Roman" w:eastAsia="仿宋_GB2312" w:cs="Times New Roman"/>
                <w:color w:val="auto"/>
                <w:sz w:val="24"/>
                <w:lang w:val="en-US" w:eastAsia="zh-CN"/>
              </w:rPr>
              <w:t>下表：</w:t>
            </w:r>
          </w:p>
          <w:p>
            <w:pPr>
              <w:autoSpaceDE w:val="0"/>
              <w:autoSpaceDN w:val="0"/>
              <w:ind w:firstLine="420" w:firstLineChars="200"/>
              <w:jc w:val="both"/>
              <w:rPr>
                <w:rFonts w:hint="default" w:ascii="Times New Roman" w:hAnsi="Times New Roman" w:cs="Times New Roman"/>
                <w:b/>
                <w:bCs/>
                <w:color w:val="auto"/>
                <w:sz w:val="22"/>
                <w:szCs w:val="22"/>
              </w:rPr>
            </w:pPr>
            <w:r>
              <w:rPr>
                <w:rFonts w:hint="default" w:ascii="Times New Roman" w:hAnsi="Times New Roman" w:eastAsia="宋体" w:cs="Times New Roman"/>
                <w:b w:val="0"/>
                <w:bCs w:val="0"/>
                <w:color w:val="auto"/>
                <w:sz w:val="21"/>
                <w:szCs w:val="21"/>
              </w:rPr>
              <w:t>表</w:t>
            </w:r>
            <w:r>
              <w:rPr>
                <w:rFonts w:hint="eastAsia" w:cs="Times New Roman"/>
                <w:b w:val="0"/>
                <w:bCs w:val="0"/>
                <w:color w:val="auto"/>
                <w:sz w:val="21"/>
                <w:szCs w:val="21"/>
                <w:lang w:val="en-US" w:eastAsia="zh-CN"/>
              </w:rPr>
              <w:t>20</w:t>
            </w:r>
            <w:r>
              <w:rPr>
                <w:rFonts w:hint="default" w:ascii="Times New Roman" w:hAnsi="Times New Roman" w:eastAsia="宋体" w:cs="Times New Roman"/>
                <w:b/>
                <w:bCs/>
                <w:color w:val="auto"/>
                <w:sz w:val="24"/>
                <w:szCs w:val="24"/>
              </w:rPr>
              <w:t xml:space="preserve">  </w:t>
            </w:r>
            <w:r>
              <w:rPr>
                <w:rFonts w:hint="default" w:ascii="Times New Roman" w:hAnsi="Times New Roman" w:eastAsia="宋体"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rPr>
              <w:t>声环境质量标准值单位：dB（A）</w:t>
            </w:r>
          </w:p>
          <w:tbl>
            <w:tblPr>
              <w:tblStyle w:val="35"/>
              <w:tblW w:w="8419"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2913"/>
              <w:gridCol w:w="2652"/>
              <w:gridCol w:w="2854"/>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913" w:type="dxa"/>
                  <w:tcBorders>
                    <w:tl2br w:val="nil"/>
                    <w:tr2bl w:val="nil"/>
                  </w:tcBorders>
                  <w:noWrap w:val="0"/>
                  <w:vAlign w:val="top"/>
                </w:tcPr>
                <w:p>
                  <w:pPr>
                    <w:autoSpaceDE w:val="0"/>
                    <w:autoSpaceDN w:val="0"/>
                    <w:jc w:val="center"/>
                    <w:rPr>
                      <w:rFonts w:hint="default" w:ascii="Times New Roman" w:hAnsi="Times New Roman" w:cs="Times New Roman"/>
                      <w:b/>
                      <w:bCs/>
                      <w:color w:val="auto"/>
                    </w:rPr>
                  </w:pPr>
                  <w:r>
                    <w:rPr>
                      <w:rFonts w:hint="default" w:ascii="Times New Roman" w:hAnsi="Times New Roman" w:cs="Times New Roman"/>
                      <w:b/>
                      <w:bCs/>
                      <w:color w:val="auto"/>
                    </w:rPr>
                    <w:t>类别</w:t>
                  </w:r>
                </w:p>
              </w:tc>
              <w:tc>
                <w:tcPr>
                  <w:tcW w:w="2652" w:type="dxa"/>
                  <w:tcBorders>
                    <w:tl2br w:val="nil"/>
                    <w:tr2bl w:val="nil"/>
                  </w:tcBorders>
                  <w:noWrap w:val="0"/>
                  <w:vAlign w:val="top"/>
                </w:tcPr>
                <w:p>
                  <w:pPr>
                    <w:autoSpaceDE w:val="0"/>
                    <w:autoSpaceDN w:val="0"/>
                    <w:jc w:val="center"/>
                    <w:rPr>
                      <w:rFonts w:hint="default" w:ascii="Times New Roman" w:hAnsi="Times New Roman" w:cs="Times New Roman"/>
                      <w:b/>
                      <w:bCs/>
                      <w:color w:val="auto"/>
                    </w:rPr>
                  </w:pPr>
                  <w:r>
                    <w:rPr>
                      <w:rFonts w:hint="default" w:ascii="Times New Roman" w:hAnsi="Times New Roman" w:cs="Times New Roman"/>
                      <w:b/>
                      <w:bCs/>
                      <w:color w:val="auto"/>
                    </w:rPr>
                    <w:t>昼间</w:t>
                  </w:r>
                </w:p>
              </w:tc>
              <w:tc>
                <w:tcPr>
                  <w:tcW w:w="2854" w:type="dxa"/>
                  <w:tcBorders>
                    <w:tl2br w:val="nil"/>
                    <w:tr2bl w:val="nil"/>
                  </w:tcBorders>
                  <w:noWrap w:val="0"/>
                  <w:vAlign w:val="top"/>
                </w:tcPr>
                <w:p>
                  <w:pPr>
                    <w:autoSpaceDE w:val="0"/>
                    <w:autoSpaceDN w:val="0"/>
                    <w:jc w:val="center"/>
                    <w:rPr>
                      <w:rFonts w:hint="default" w:ascii="Times New Roman" w:hAnsi="Times New Roman" w:cs="Times New Roman"/>
                      <w:b/>
                      <w:bCs/>
                      <w:color w:val="auto"/>
                    </w:rPr>
                  </w:pPr>
                  <w:r>
                    <w:rPr>
                      <w:rFonts w:hint="default" w:ascii="Times New Roman" w:hAnsi="Times New Roman" w:cs="Times New Roman"/>
                      <w:b/>
                      <w:bCs/>
                      <w:color w:val="auto"/>
                    </w:rPr>
                    <w:t>夜间</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08" w:hRule="atLeast"/>
                <w:jc w:val="center"/>
              </w:trPr>
              <w:tc>
                <w:tcPr>
                  <w:tcW w:w="2913" w:type="dxa"/>
                  <w:tcBorders>
                    <w:tl2br w:val="nil"/>
                    <w:tr2bl w:val="nil"/>
                  </w:tcBorders>
                  <w:noWrap w:val="0"/>
                  <w:vAlign w:val="top"/>
                </w:tcPr>
                <w:p>
                  <w:pPr>
                    <w:autoSpaceDE w:val="0"/>
                    <w:autoSpaceDN w:val="0"/>
                    <w:jc w:val="center"/>
                    <w:rPr>
                      <w:rFonts w:hint="default" w:ascii="Times New Roman" w:hAnsi="Times New Roman" w:cs="Times New Roman"/>
                      <w:color w:val="auto"/>
                    </w:rPr>
                  </w:pPr>
                  <w:r>
                    <w:rPr>
                      <w:rFonts w:hint="eastAsia" w:ascii="Times New Roman" w:hAnsi="Times New Roman" w:cs="Times New Roman"/>
                      <w:color w:val="auto"/>
                      <w:lang w:val="en-US" w:eastAsia="zh-CN"/>
                    </w:rPr>
                    <w:t>1</w:t>
                  </w:r>
                  <w:r>
                    <w:rPr>
                      <w:rFonts w:hint="default" w:ascii="Times New Roman" w:hAnsi="Times New Roman" w:cs="Times New Roman"/>
                      <w:color w:val="auto"/>
                    </w:rPr>
                    <w:t>类</w:t>
                  </w:r>
                </w:p>
              </w:tc>
              <w:tc>
                <w:tcPr>
                  <w:tcW w:w="2652" w:type="dxa"/>
                  <w:tcBorders>
                    <w:tl2br w:val="nil"/>
                    <w:tr2bl w:val="nil"/>
                  </w:tcBorders>
                  <w:noWrap w:val="0"/>
                  <w:vAlign w:val="top"/>
                </w:tcPr>
                <w:p>
                  <w:pPr>
                    <w:autoSpaceDE w:val="0"/>
                    <w:autoSpaceDN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55</w:t>
                  </w:r>
                </w:p>
              </w:tc>
              <w:tc>
                <w:tcPr>
                  <w:tcW w:w="2854" w:type="dxa"/>
                  <w:tcBorders>
                    <w:tl2br w:val="nil"/>
                    <w:tr2bl w:val="nil"/>
                  </w:tcBorders>
                  <w:noWrap w:val="0"/>
                  <w:vAlign w:val="top"/>
                </w:tcPr>
                <w:p>
                  <w:pPr>
                    <w:autoSpaceDE w:val="0"/>
                    <w:autoSpaceDN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45</w:t>
                  </w:r>
                </w:p>
              </w:tc>
            </w:tr>
          </w:tbl>
          <w:p>
            <w:pPr>
              <w:adjustRightInd w:val="0"/>
              <w:spacing w:line="360" w:lineRule="auto"/>
              <w:rPr>
                <w:rFonts w:hint="default" w:ascii="Times New Roman" w:hAnsi="Times New Roman" w:eastAsia="仿宋_GB2312" w:cs="Times New Roman"/>
                <w:b/>
                <w:bCs/>
                <w:color w:val="auto"/>
                <w:kern w:val="0"/>
                <w:sz w:val="24"/>
                <w:szCs w:val="24"/>
                <w:highlight w:val="none"/>
                <w:lang w:val="en-US" w:eastAsia="zh-CN"/>
              </w:rPr>
            </w:pPr>
            <w:r>
              <w:rPr>
                <w:rFonts w:hint="eastAsia" w:eastAsia="仿宋_GB2312" w:cs="Times New Roman"/>
                <w:b/>
                <w:bCs/>
                <w:color w:val="auto"/>
                <w:kern w:val="0"/>
                <w:sz w:val="24"/>
                <w:szCs w:val="24"/>
                <w:highlight w:val="none"/>
                <w:lang w:val="en-US" w:eastAsia="zh-CN"/>
              </w:rPr>
              <w:t>4</w:t>
            </w:r>
            <w:r>
              <w:rPr>
                <w:rFonts w:hint="default" w:ascii="Times New Roman" w:hAnsi="Times New Roman" w:eastAsia="仿宋_GB2312" w:cs="Times New Roman"/>
                <w:b/>
                <w:bCs/>
                <w:color w:val="auto"/>
                <w:kern w:val="0"/>
                <w:sz w:val="24"/>
                <w:szCs w:val="24"/>
                <w:highlight w:val="none"/>
                <w:lang w:val="en-US" w:eastAsia="zh-CN"/>
              </w:rPr>
              <w:t>、污染物排放标准</w:t>
            </w:r>
          </w:p>
          <w:p>
            <w:pPr>
              <w:adjustRightInd w:val="0"/>
              <w:spacing w:line="360" w:lineRule="auto"/>
              <w:ind w:firstLine="480" w:firstLineChars="200"/>
              <w:rPr>
                <w:rFonts w:hint="default" w:ascii="Times New Roman" w:hAnsi="Times New Roman" w:eastAsia="仿宋_GB2312" w:cs="Times New Roman"/>
                <w:color w:val="auto"/>
                <w:kern w:val="0"/>
                <w:sz w:val="24"/>
                <w:szCs w:val="24"/>
                <w:highlight w:val="none"/>
                <w:lang w:eastAsia="zh-CN"/>
              </w:rPr>
            </w:pPr>
            <w:r>
              <w:rPr>
                <w:rFonts w:hint="default" w:ascii="Times New Roman" w:hAnsi="Times New Roman" w:eastAsia="仿宋_GB2312" w:cs="Times New Roman"/>
                <w:color w:val="auto"/>
                <w:kern w:val="0"/>
                <w:sz w:val="24"/>
                <w:szCs w:val="24"/>
                <w:highlight w:val="none"/>
                <w:lang w:eastAsia="zh-CN"/>
              </w:rPr>
              <w:fldChar w:fldCharType="begin"/>
            </w:r>
            <w:r>
              <w:rPr>
                <w:rFonts w:hint="default" w:ascii="Times New Roman" w:hAnsi="Times New Roman" w:eastAsia="仿宋_GB2312" w:cs="Times New Roman"/>
                <w:color w:val="auto"/>
                <w:kern w:val="0"/>
                <w:sz w:val="24"/>
                <w:szCs w:val="24"/>
                <w:highlight w:val="none"/>
                <w:lang w:eastAsia="zh-CN"/>
              </w:rPr>
              <w:instrText xml:space="preserve"> = 1 \* GB2 \* MERGEFORMAT </w:instrText>
            </w:r>
            <w:r>
              <w:rPr>
                <w:rFonts w:hint="default" w:ascii="Times New Roman" w:hAnsi="Times New Roman" w:eastAsia="仿宋_GB2312" w:cs="Times New Roman"/>
                <w:color w:val="auto"/>
                <w:kern w:val="0"/>
                <w:sz w:val="24"/>
                <w:szCs w:val="24"/>
                <w:highlight w:val="none"/>
                <w:lang w:eastAsia="zh-CN"/>
              </w:rPr>
              <w:fldChar w:fldCharType="separate"/>
            </w:r>
            <w:r>
              <w:rPr>
                <w:rFonts w:hint="default" w:ascii="Times New Roman" w:hAnsi="Times New Roman" w:eastAsia="仿宋_GB2312" w:cs="Times New Roman"/>
                <w:color w:val="auto"/>
                <w:sz w:val="24"/>
                <w:szCs w:val="24"/>
                <w:highlight w:val="none"/>
              </w:rPr>
              <w:t>⑴</w:t>
            </w:r>
            <w:r>
              <w:rPr>
                <w:rFonts w:hint="default" w:ascii="Times New Roman" w:hAnsi="Times New Roman" w:eastAsia="仿宋_GB2312" w:cs="Times New Roman"/>
                <w:color w:val="auto"/>
                <w:kern w:val="0"/>
                <w:sz w:val="24"/>
                <w:szCs w:val="24"/>
                <w:highlight w:val="none"/>
                <w:lang w:eastAsia="zh-CN"/>
              </w:rPr>
              <w:fldChar w:fldCharType="end"/>
            </w:r>
            <w:r>
              <w:rPr>
                <w:rFonts w:hint="default" w:ascii="Times New Roman" w:hAnsi="Times New Roman" w:eastAsia="仿宋_GB2312" w:cs="Times New Roman"/>
                <w:color w:val="auto"/>
                <w:kern w:val="0"/>
                <w:sz w:val="24"/>
                <w:szCs w:val="24"/>
                <w:highlight w:val="none"/>
                <w:lang w:val="en-US" w:eastAsia="zh-CN"/>
              </w:rPr>
              <w:t>废气</w:t>
            </w:r>
          </w:p>
          <w:p>
            <w:pPr>
              <w:adjustRightInd w:val="0"/>
              <w:spacing w:line="360" w:lineRule="auto"/>
              <w:ind w:firstLine="480" w:firstLineChars="200"/>
              <w:rPr>
                <w:rFonts w:hint="default" w:ascii="Times New Roman" w:hAnsi="Times New Roman" w:eastAsia="仿宋_GB2312" w:cs="Times New Roman"/>
                <w:color w:val="auto"/>
                <w:kern w:val="0"/>
                <w:sz w:val="24"/>
                <w:szCs w:val="24"/>
                <w:highlight w:val="none"/>
                <w:lang w:eastAsia="zh-CN"/>
              </w:rPr>
            </w:pPr>
            <w:r>
              <w:rPr>
                <w:rFonts w:hint="default" w:ascii="Times New Roman" w:hAnsi="Times New Roman" w:eastAsia="仿宋_GB2312" w:cs="Times New Roman"/>
                <w:color w:val="auto"/>
                <w:kern w:val="0"/>
                <w:sz w:val="24"/>
                <w:szCs w:val="24"/>
                <w:highlight w:val="none"/>
                <w:lang w:val="en-US" w:eastAsia="zh-CN"/>
              </w:rPr>
              <w:t>本项目颗粒物执行《大气污染物综合排放标准》（GB16297-1996）无组织排放监控浓度限值；</w:t>
            </w:r>
          </w:p>
          <w:p>
            <w:pPr>
              <w:adjustRightInd w:val="0"/>
              <w:spacing w:line="240" w:lineRule="auto"/>
              <w:ind w:firstLine="420" w:firstLineChars="200"/>
              <w:jc w:val="both"/>
              <w:rPr>
                <w:rFonts w:hint="default" w:ascii="Times New Roman" w:hAnsi="Times New Roman" w:eastAsia="仿宋_GB2312" w:cs="Times New Roman"/>
                <w:b/>
                <w:bCs/>
                <w:color w:val="auto"/>
                <w:kern w:val="0"/>
                <w:sz w:val="24"/>
                <w:highlight w:val="none"/>
              </w:rPr>
            </w:pPr>
            <w:r>
              <w:rPr>
                <w:rFonts w:hint="default" w:ascii="Times New Roman" w:hAnsi="Times New Roman" w:eastAsia="宋体" w:cs="Times New Roman"/>
                <w:b w:val="0"/>
                <w:bCs w:val="0"/>
                <w:color w:val="auto"/>
                <w:kern w:val="0"/>
                <w:sz w:val="21"/>
                <w:szCs w:val="21"/>
                <w:highlight w:val="none"/>
              </w:rPr>
              <w:t>表</w:t>
            </w:r>
            <w:r>
              <w:rPr>
                <w:rFonts w:hint="eastAsia" w:cs="Times New Roman"/>
                <w:b w:val="0"/>
                <w:bCs w:val="0"/>
                <w:color w:val="auto"/>
                <w:kern w:val="0"/>
                <w:sz w:val="21"/>
                <w:szCs w:val="21"/>
                <w:highlight w:val="none"/>
                <w:lang w:val="en-US" w:eastAsia="zh-CN"/>
              </w:rPr>
              <w:t>21</w:t>
            </w:r>
            <w:r>
              <w:rPr>
                <w:rFonts w:hint="default" w:ascii="Times New Roman" w:hAnsi="Times New Roman" w:eastAsia="宋体" w:cs="Times New Roman"/>
                <w:b w:val="0"/>
                <w:bCs w:val="0"/>
                <w:color w:val="auto"/>
                <w:kern w:val="0"/>
                <w:sz w:val="21"/>
                <w:szCs w:val="21"/>
                <w:highlight w:val="none"/>
              </w:rPr>
              <w:t xml:space="preserve">  </w:t>
            </w:r>
            <w:r>
              <w:rPr>
                <w:rFonts w:hint="eastAsia" w:ascii="Times New Roman" w:hAnsi="Times New Roman" w:eastAsia="宋体" w:cs="Times New Roman"/>
                <w:b w:val="0"/>
                <w:bCs w:val="0"/>
                <w:color w:val="auto"/>
                <w:kern w:val="0"/>
                <w:sz w:val="21"/>
                <w:szCs w:val="21"/>
                <w:highlight w:val="none"/>
                <w:lang w:val="en-US" w:eastAsia="zh-CN"/>
              </w:rPr>
              <w:t xml:space="preserve">            </w:t>
            </w:r>
            <w:r>
              <w:rPr>
                <w:rFonts w:hint="default" w:ascii="Times New Roman" w:hAnsi="Times New Roman" w:eastAsia="宋体" w:cs="Times New Roman"/>
                <w:b w:val="0"/>
                <w:bCs w:val="0"/>
                <w:color w:val="auto"/>
                <w:kern w:val="0"/>
                <w:sz w:val="21"/>
                <w:szCs w:val="21"/>
                <w:highlight w:val="none"/>
              </w:rPr>
              <w:t xml:space="preserve"> </w:t>
            </w:r>
            <w:r>
              <w:rPr>
                <w:rFonts w:hint="default" w:ascii="Times New Roman" w:hAnsi="Times New Roman" w:eastAsia="宋体" w:cs="Times New Roman"/>
                <w:b/>
                <w:bCs/>
                <w:color w:val="auto"/>
                <w:kern w:val="0"/>
                <w:sz w:val="24"/>
                <w:highlight w:val="none"/>
              </w:rPr>
              <w:t>本项目施工期废气排放标准</w:t>
            </w:r>
          </w:p>
          <w:tbl>
            <w:tblPr>
              <w:tblStyle w:val="35"/>
              <w:tblW w:w="839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610"/>
              <w:gridCol w:w="2847"/>
              <w:gridCol w:w="293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7" w:type="dxa"/>
                  <w:vAlign w:val="center"/>
                </w:tcPr>
                <w:p>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污染物</w:t>
                  </w:r>
                </w:p>
              </w:tc>
              <w:tc>
                <w:tcPr>
                  <w:tcW w:w="2701" w:type="dxa"/>
                  <w:vAlign w:val="center"/>
                </w:tcPr>
                <w:p>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标准类型</w:t>
                  </w:r>
                </w:p>
              </w:tc>
              <w:tc>
                <w:tcPr>
                  <w:tcW w:w="2783" w:type="dxa"/>
                  <w:vAlign w:val="center"/>
                </w:tcPr>
                <w:p>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浓度限制（mg/m</w:t>
                  </w:r>
                  <w:r>
                    <w:rPr>
                      <w:rFonts w:hint="default" w:ascii="Times New Roman" w:hAnsi="Times New Roman" w:eastAsia="宋体" w:cs="Times New Roman"/>
                      <w:b/>
                      <w:bCs/>
                      <w:color w:val="auto"/>
                      <w:kern w:val="0"/>
                      <w:sz w:val="21"/>
                      <w:szCs w:val="21"/>
                      <w:highlight w:val="none"/>
                      <w:vertAlign w:val="superscript"/>
                    </w:rPr>
                    <w:t>3</w:t>
                  </w:r>
                  <w:r>
                    <w:rPr>
                      <w:rFonts w:hint="default" w:ascii="Times New Roman" w:hAnsi="Times New Roman" w:eastAsia="宋体" w:cs="Times New Roman"/>
                      <w:b/>
                      <w:bCs/>
                      <w:color w:val="auto"/>
                      <w:kern w:val="0"/>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7" w:type="dxa"/>
                  <w:vAlign w:val="center"/>
                </w:tcPr>
                <w:p>
                  <w:pPr>
                    <w:pStyle w:val="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2701" w:type="dxa"/>
                  <w:vAlign w:val="center"/>
                </w:tcPr>
                <w:p>
                  <w:pPr>
                    <w:pStyle w:val="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无组织排放监控浓度限制</w:t>
                  </w:r>
                </w:p>
              </w:tc>
              <w:tc>
                <w:tcPr>
                  <w:tcW w:w="2783" w:type="dxa"/>
                  <w:vAlign w:val="center"/>
                </w:tcPr>
                <w:p>
                  <w:pPr>
                    <w:pStyle w:val="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b w:val="0"/>
                <w:bCs/>
                <w:color w:val="auto"/>
                <w:sz w:val="24"/>
                <w:szCs w:val="24"/>
                <w:highlight w:val="none"/>
                <w:lang w:val="en-US" w:eastAsia="zh-CN"/>
              </w:rPr>
            </w:pPr>
            <w:r>
              <w:rPr>
                <w:rFonts w:hint="default" w:ascii="Times New Roman" w:hAnsi="Times New Roman" w:eastAsia="仿宋_GB2312" w:cs="Times New Roman"/>
                <w:b w:val="0"/>
                <w:bCs/>
                <w:color w:val="auto"/>
                <w:sz w:val="24"/>
                <w:szCs w:val="24"/>
                <w:highlight w:val="none"/>
                <w:lang w:val="en-US" w:eastAsia="zh-CN"/>
              </w:rPr>
              <w:t>本项目厂界颗粒物排放执行《大气污染物综合排放标准》（GB16297-1996）表2无组织排放控制浓度限值要求；</w:t>
            </w:r>
          </w:p>
          <w:p>
            <w:pPr>
              <w:pStyle w:val="10"/>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both"/>
              <w:textAlignment w:val="auto"/>
              <w:rPr>
                <w:rFonts w:hint="default" w:ascii="Times New Roman" w:hAnsi="Times New Roman" w:eastAsia="黑体" w:cs="Times New Roman"/>
                <w:color w:val="auto"/>
                <w:sz w:val="24"/>
                <w:szCs w:val="24"/>
                <w:lang w:eastAsia="zh-CN"/>
              </w:rPr>
            </w:pPr>
            <w:r>
              <w:rPr>
                <w:rFonts w:hint="default" w:ascii="Times New Roman" w:hAnsi="Times New Roman" w:eastAsia="宋体" w:cs="Times New Roman"/>
                <w:b w:val="0"/>
                <w:bCs w:val="0"/>
                <w:color w:val="auto"/>
                <w:kern w:val="0"/>
                <w:sz w:val="21"/>
                <w:szCs w:val="21"/>
                <w:highlight w:val="none"/>
                <w:lang w:val="en-US" w:eastAsia="zh-CN" w:bidi="ar-SA"/>
              </w:rPr>
              <w:t>表</w:t>
            </w:r>
            <w:r>
              <w:rPr>
                <w:rFonts w:hint="eastAsia" w:ascii="Times New Roman" w:hAnsi="Times New Roman" w:eastAsia="宋体" w:cs="Times New Roman"/>
                <w:b w:val="0"/>
                <w:bCs w:val="0"/>
                <w:color w:val="auto"/>
                <w:kern w:val="0"/>
                <w:sz w:val="21"/>
                <w:szCs w:val="21"/>
                <w:highlight w:val="none"/>
                <w:lang w:val="en-US" w:eastAsia="zh-CN" w:bidi="ar-SA"/>
              </w:rPr>
              <w:t xml:space="preserve">18             </w:t>
            </w:r>
            <w:r>
              <w:rPr>
                <w:rFonts w:hint="default" w:ascii="Times New Roman" w:hAnsi="Times New Roman" w:eastAsia="宋体" w:cs="Times New Roman"/>
                <w:b w:val="0"/>
                <w:bCs w:val="0"/>
                <w:color w:val="auto"/>
                <w:kern w:val="0"/>
                <w:sz w:val="21"/>
                <w:szCs w:val="21"/>
                <w:highlight w:val="none"/>
                <w:lang w:val="en-US" w:eastAsia="zh-CN" w:bidi="ar-SA"/>
              </w:rPr>
              <w:t xml:space="preserve"> </w:t>
            </w:r>
            <w:r>
              <w:rPr>
                <w:rFonts w:hint="default" w:ascii="Times New Roman" w:hAnsi="Times New Roman" w:eastAsia="宋体" w:cs="Times New Roman"/>
                <w:b/>
                <w:bCs/>
                <w:color w:val="auto"/>
                <w:kern w:val="0"/>
                <w:sz w:val="24"/>
                <w:szCs w:val="24"/>
                <w:highlight w:val="none"/>
                <w:lang w:val="en-US" w:eastAsia="zh-CN" w:bidi="ar-SA"/>
              </w:rPr>
              <w:t>无组织废气排放标准限值要求一览表</w:t>
            </w:r>
          </w:p>
          <w:tbl>
            <w:tblPr>
              <w:tblStyle w:val="35"/>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66"/>
              <w:gridCol w:w="4086"/>
              <w:gridCol w:w="29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8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污染物</w:t>
                  </w:r>
                </w:p>
              </w:tc>
              <w:tc>
                <w:tcPr>
                  <w:tcW w:w="24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无组织排放控制浓度限值</w:t>
                  </w:r>
                  <w:r>
                    <w:rPr>
                      <w:rFonts w:hint="default" w:ascii="Times New Roman" w:hAnsi="Times New Roman" w:cs="Times New Roman"/>
                      <w:b/>
                      <w:bCs/>
                      <w:color w:val="auto"/>
                      <w:sz w:val="21"/>
                      <w:szCs w:val="21"/>
                      <w:lang w:val="en-US" w:eastAsia="zh-CN"/>
                    </w:rPr>
                    <w:t>(mg/m³</w:t>
                  </w:r>
                  <w:r>
                    <w:rPr>
                      <w:rFonts w:hint="default" w:ascii="Times New Roman" w:hAnsi="Times New Roman" w:cs="Times New Roman"/>
                      <w:b/>
                      <w:bCs/>
                      <w:color w:val="auto"/>
                      <w:sz w:val="21"/>
                      <w:szCs w:val="21"/>
                      <w:vertAlign w:val="baseline"/>
                      <w:lang w:val="en-US" w:eastAsia="zh-CN"/>
                    </w:rPr>
                    <w:t>)</w:t>
                  </w:r>
                </w:p>
              </w:tc>
              <w:tc>
                <w:tcPr>
                  <w:tcW w:w="17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lang w:eastAsia="zh-CN"/>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8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颗粒物</w:t>
                  </w:r>
                </w:p>
              </w:tc>
              <w:tc>
                <w:tcPr>
                  <w:tcW w:w="24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17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《大气污染物综合排放标准》（GB16297-1996）</w:t>
                  </w:r>
                </w:p>
              </w:tc>
            </w:tr>
          </w:tbl>
          <w:p>
            <w:pPr>
              <w:adjustRightInd w:val="0"/>
              <w:spacing w:line="360" w:lineRule="auto"/>
              <w:ind w:firstLine="480" w:firstLineChars="200"/>
              <w:rPr>
                <w:rFonts w:hint="default" w:ascii="Times New Roman" w:hAnsi="Times New Roman" w:eastAsia="仿宋_GB2312" w:cs="Times New Roman"/>
                <w:color w:val="auto"/>
                <w:kern w:val="0"/>
                <w:sz w:val="24"/>
                <w:szCs w:val="24"/>
                <w:highlight w:val="none"/>
                <w:lang w:val="en-US" w:eastAsia="zh-CN"/>
              </w:rPr>
            </w:pPr>
            <w:r>
              <w:rPr>
                <w:rFonts w:hint="default" w:ascii="Times New Roman" w:hAnsi="Times New Roman" w:eastAsia="仿宋_GB2312" w:cs="Times New Roman"/>
                <w:color w:val="auto"/>
                <w:kern w:val="0"/>
                <w:sz w:val="24"/>
                <w:szCs w:val="24"/>
                <w:highlight w:val="none"/>
                <w:lang w:eastAsia="zh-CN"/>
              </w:rPr>
              <w:fldChar w:fldCharType="begin"/>
            </w:r>
            <w:r>
              <w:rPr>
                <w:rFonts w:hint="default" w:ascii="Times New Roman" w:hAnsi="Times New Roman" w:eastAsia="仿宋_GB2312" w:cs="Times New Roman"/>
                <w:color w:val="auto"/>
                <w:kern w:val="0"/>
                <w:sz w:val="24"/>
                <w:szCs w:val="24"/>
                <w:highlight w:val="none"/>
                <w:lang w:eastAsia="zh-CN"/>
              </w:rPr>
              <w:instrText xml:space="preserve"> = 2 \* GB2 \* MERGEFORMAT </w:instrText>
            </w:r>
            <w:r>
              <w:rPr>
                <w:rFonts w:hint="default" w:ascii="Times New Roman" w:hAnsi="Times New Roman" w:eastAsia="仿宋_GB2312" w:cs="Times New Roman"/>
                <w:color w:val="auto"/>
                <w:kern w:val="0"/>
                <w:sz w:val="24"/>
                <w:szCs w:val="24"/>
                <w:highlight w:val="none"/>
                <w:lang w:eastAsia="zh-CN"/>
              </w:rPr>
              <w:fldChar w:fldCharType="separate"/>
            </w:r>
            <w:r>
              <w:rPr>
                <w:rFonts w:hint="default" w:ascii="Times New Roman" w:hAnsi="Times New Roman" w:eastAsia="仿宋_GB2312" w:cs="Times New Roman"/>
                <w:color w:val="auto"/>
                <w:kern w:val="0"/>
                <w:sz w:val="24"/>
                <w:szCs w:val="24"/>
                <w:highlight w:val="none"/>
                <w:lang w:eastAsia="zh-CN"/>
              </w:rPr>
              <w:t>⑵</w:t>
            </w:r>
            <w:r>
              <w:rPr>
                <w:rFonts w:hint="default" w:ascii="Times New Roman" w:hAnsi="Times New Roman" w:eastAsia="仿宋_GB2312" w:cs="Times New Roman"/>
                <w:color w:val="auto"/>
                <w:kern w:val="0"/>
                <w:sz w:val="24"/>
                <w:szCs w:val="24"/>
                <w:highlight w:val="none"/>
                <w:lang w:eastAsia="zh-CN"/>
              </w:rPr>
              <w:fldChar w:fldCharType="end"/>
            </w:r>
            <w:r>
              <w:rPr>
                <w:rFonts w:hint="eastAsia" w:ascii="Times New Roman" w:hAnsi="Times New Roman" w:eastAsia="仿宋_GB2312" w:cs="Times New Roman"/>
                <w:color w:val="auto"/>
                <w:kern w:val="0"/>
                <w:sz w:val="24"/>
                <w:szCs w:val="24"/>
                <w:highlight w:val="none"/>
                <w:lang w:val="en-US" w:eastAsia="zh-CN"/>
              </w:rPr>
              <w:t>噪声</w:t>
            </w:r>
          </w:p>
          <w:p>
            <w:pPr>
              <w:adjustRightInd w:val="0"/>
              <w:spacing w:line="360" w:lineRule="auto"/>
              <w:ind w:firstLine="480" w:firstLineChars="200"/>
              <w:rPr>
                <w:rFonts w:hint="default" w:ascii="Times New Roman" w:hAnsi="Times New Roman" w:eastAsia="仿宋_GB2312" w:cs="Times New Roman"/>
                <w:color w:val="auto"/>
                <w:kern w:val="0"/>
                <w:sz w:val="24"/>
                <w:szCs w:val="24"/>
                <w:highlight w:val="none"/>
                <w:lang w:eastAsia="zh-CN"/>
              </w:rPr>
            </w:pPr>
            <w:r>
              <w:rPr>
                <w:rFonts w:hint="default" w:ascii="Times New Roman" w:hAnsi="Times New Roman" w:eastAsia="仿宋_GB2312" w:cs="Times New Roman"/>
                <w:color w:val="auto"/>
                <w:kern w:val="0"/>
                <w:sz w:val="24"/>
                <w:szCs w:val="24"/>
                <w:highlight w:val="none"/>
              </w:rPr>
              <w:t>本项目施工期噪声执行《建筑施工噪声排放标准》（GB12523-20</w:t>
            </w:r>
            <w:r>
              <w:rPr>
                <w:rFonts w:hint="eastAsia" w:eastAsia="仿宋_GB2312" w:cs="Times New Roman"/>
                <w:color w:val="auto"/>
                <w:kern w:val="0"/>
                <w:sz w:val="24"/>
                <w:szCs w:val="24"/>
                <w:highlight w:val="none"/>
                <w:lang w:val="en-US" w:eastAsia="zh-CN"/>
              </w:rPr>
              <w:t>25</w:t>
            </w:r>
            <w:r>
              <w:rPr>
                <w:rFonts w:hint="default" w:ascii="Times New Roman" w:hAnsi="Times New Roman" w:eastAsia="仿宋_GB2312" w:cs="Times New Roman"/>
                <w:color w:val="auto"/>
                <w:kern w:val="0"/>
                <w:sz w:val="24"/>
                <w:szCs w:val="24"/>
                <w:highlight w:val="none"/>
              </w:rPr>
              <w:t>）</w:t>
            </w:r>
            <w:r>
              <w:rPr>
                <w:rFonts w:hint="default" w:ascii="Times New Roman" w:hAnsi="Times New Roman" w:eastAsia="仿宋_GB2312" w:cs="Times New Roman"/>
                <w:color w:val="auto"/>
                <w:kern w:val="0"/>
                <w:sz w:val="24"/>
                <w:szCs w:val="24"/>
                <w:highlight w:val="none"/>
                <w:lang w:eastAsia="zh-CN"/>
              </w:rPr>
              <w:t>。</w:t>
            </w:r>
          </w:p>
          <w:p>
            <w:pPr>
              <w:adjustRightInd w:val="0"/>
              <w:ind w:firstLine="420" w:firstLineChars="200"/>
              <w:jc w:val="both"/>
              <w:rPr>
                <w:rFonts w:hint="default" w:ascii="Times New Roman" w:hAnsi="Times New Roman" w:eastAsia="仿宋_GB2312" w:cs="Times New Roman"/>
                <w:b/>
                <w:bCs/>
                <w:color w:val="auto"/>
                <w:kern w:val="0"/>
                <w:sz w:val="24"/>
                <w:highlight w:val="none"/>
              </w:rPr>
            </w:pPr>
            <w:r>
              <w:rPr>
                <w:rFonts w:hint="default" w:ascii="Times New Roman" w:hAnsi="Times New Roman" w:eastAsia="仿宋_GB2312" w:cs="Times New Roman"/>
                <w:b w:val="0"/>
                <w:bCs w:val="0"/>
                <w:color w:val="auto"/>
                <w:kern w:val="0"/>
                <w:sz w:val="21"/>
                <w:szCs w:val="21"/>
                <w:highlight w:val="none"/>
              </w:rPr>
              <w:t>表</w:t>
            </w:r>
            <w:r>
              <w:rPr>
                <w:rFonts w:hint="eastAsia" w:eastAsia="仿宋_GB2312" w:cs="Times New Roman"/>
                <w:b w:val="0"/>
                <w:bCs w:val="0"/>
                <w:color w:val="auto"/>
                <w:kern w:val="0"/>
                <w:sz w:val="21"/>
                <w:szCs w:val="21"/>
                <w:highlight w:val="none"/>
                <w:lang w:val="en-US" w:eastAsia="zh-CN"/>
              </w:rPr>
              <w:t>23</w:t>
            </w:r>
            <w:r>
              <w:rPr>
                <w:rFonts w:hint="default" w:ascii="Times New Roman" w:hAnsi="Times New Roman" w:eastAsia="仿宋_GB2312" w:cs="Times New Roman"/>
                <w:b w:val="0"/>
                <w:bCs w:val="0"/>
                <w:color w:val="auto"/>
                <w:kern w:val="0"/>
                <w:sz w:val="21"/>
                <w:szCs w:val="21"/>
                <w:highlight w:val="none"/>
              </w:rPr>
              <w:t xml:space="preserve">  </w:t>
            </w:r>
            <w:r>
              <w:rPr>
                <w:rFonts w:hint="eastAsia" w:eastAsia="仿宋_GB2312" w:cs="Times New Roman"/>
                <w:b w:val="0"/>
                <w:bCs w:val="0"/>
                <w:color w:val="auto"/>
                <w:kern w:val="0"/>
                <w:sz w:val="21"/>
                <w:szCs w:val="21"/>
                <w:highlight w:val="none"/>
                <w:lang w:val="en-US" w:eastAsia="zh-CN"/>
              </w:rPr>
              <w:t xml:space="preserve">            </w:t>
            </w:r>
            <w:r>
              <w:rPr>
                <w:rFonts w:hint="eastAsia" w:ascii="宋体" w:hAnsi="宋体" w:eastAsia="宋体" w:cs="宋体"/>
                <w:b/>
                <w:bCs/>
                <w:color w:val="auto"/>
                <w:kern w:val="0"/>
                <w:sz w:val="24"/>
                <w:highlight w:val="none"/>
              </w:rPr>
              <w:t>本项目施工期噪声排放标准</w:t>
            </w:r>
          </w:p>
          <w:tbl>
            <w:tblPr>
              <w:tblStyle w:val="35"/>
              <w:tblpPr w:leftFromText="180" w:rightFromText="180" w:vertAnchor="text" w:tblpXSpec="center" w:tblpY="1"/>
              <w:tblOverlap w:val="never"/>
              <w:tblW w:w="839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089"/>
              <w:gridCol w:w="43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0" w:type="dxa"/>
                  <w:tcBorders>
                    <w:tl2br w:val="nil"/>
                    <w:tr2bl w:val="nil"/>
                  </w:tcBorders>
                  <w:vAlign w:val="center"/>
                </w:tcPr>
                <w:p>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昼间/dB(A)</w:t>
                  </w:r>
                </w:p>
              </w:tc>
              <w:tc>
                <w:tcPr>
                  <w:tcW w:w="4081" w:type="dxa"/>
                  <w:tcBorders>
                    <w:tl2br w:val="nil"/>
                    <w:tr2bl w:val="nil"/>
                  </w:tcBorders>
                  <w:vAlign w:val="center"/>
                </w:tcPr>
                <w:p>
                  <w:pPr>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夜间/dB(A)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0"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70</w:t>
                  </w:r>
                </w:p>
              </w:tc>
              <w:tc>
                <w:tcPr>
                  <w:tcW w:w="4081"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55</w:t>
                  </w:r>
                </w:p>
              </w:tc>
            </w:tr>
          </w:tbl>
          <w:p>
            <w:pPr>
              <w:adjustRightInd w:val="0"/>
              <w:spacing w:line="360" w:lineRule="auto"/>
              <w:ind w:firstLine="480" w:firstLineChars="200"/>
              <w:rPr>
                <w:rFonts w:hint="default" w:ascii="Times New Roman" w:hAnsi="Times New Roman" w:eastAsia="仿宋_GB2312" w:cs="Times New Roman"/>
                <w:color w:val="auto"/>
                <w:kern w:val="0"/>
                <w:sz w:val="24"/>
                <w:highlight w:val="none"/>
                <w:lang w:eastAsia="zh-CN"/>
              </w:rPr>
            </w:pPr>
            <w:r>
              <w:rPr>
                <w:rFonts w:hint="default" w:ascii="Times New Roman" w:hAnsi="Times New Roman" w:eastAsia="仿宋_GB2312" w:cs="Times New Roman"/>
                <w:color w:val="auto"/>
                <w:kern w:val="0"/>
                <w:sz w:val="24"/>
                <w:highlight w:val="none"/>
              </w:rPr>
              <w:t>项目运营期噪声排放执行《工业企业厂界环境噪声排放标准》（GB 12348-2008）中</w:t>
            </w:r>
            <w:r>
              <w:rPr>
                <w:rFonts w:hint="eastAsia" w:ascii="Times New Roman" w:hAnsi="Times New Roman" w:eastAsia="仿宋_GB2312" w:cs="Times New Roman"/>
                <w:color w:val="auto"/>
                <w:kern w:val="0"/>
                <w:sz w:val="24"/>
                <w:highlight w:val="none"/>
                <w:lang w:val="en-US" w:eastAsia="zh-CN"/>
              </w:rPr>
              <w:t>1</w:t>
            </w:r>
            <w:r>
              <w:rPr>
                <w:rFonts w:hint="default" w:ascii="Times New Roman" w:hAnsi="Times New Roman" w:eastAsia="仿宋_GB2312" w:cs="Times New Roman"/>
                <w:color w:val="auto"/>
                <w:kern w:val="0"/>
                <w:sz w:val="24"/>
                <w:highlight w:val="none"/>
              </w:rPr>
              <w:t>类标准，具体标准详见下表</w:t>
            </w:r>
            <w:r>
              <w:rPr>
                <w:rFonts w:hint="default" w:ascii="Times New Roman" w:hAnsi="Times New Roman" w:eastAsia="仿宋_GB2312" w:cs="Times New Roman"/>
                <w:color w:val="auto"/>
                <w:kern w:val="0"/>
                <w:sz w:val="24"/>
                <w:highlight w:val="none"/>
                <w:lang w:eastAsia="zh-CN"/>
              </w:rPr>
              <w:t>。</w:t>
            </w:r>
          </w:p>
          <w:p>
            <w:pPr>
              <w:pStyle w:val="42"/>
              <w:spacing w:line="240" w:lineRule="auto"/>
              <w:jc w:val="both"/>
              <w:rPr>
                <w:rFonts w:hint="default" w:ascii="宋体" w:hAnsi="宋体" w:eastAsia="宋体" w:cs="宋体"/>
                <w:b/>
                <w:bCs/>
                <w:color w:val="auto"/>
                <w:kern w:val="0"/>
                <w:sz w:val="24"/>
                <w:szCs w:val="24"/>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表</w:t>
            </w:r>
            <w:r>
              <w:rPr>
                <w:rFonts w:hint="eastAsia" w:ascii="Times New Roman" w:hAnsi="Times New Roman" w:cs="Times New Roman"/>
                <w:b w:val="0"/>
                <w:bCs w:val="0"/>
                <w:color w:val="auto"/>
                <w:sz w:val="21"/>
                <w:szCs w:val="21"/>
                <w:highlight w:val="none"/>
                <w:lang w:val="en-US" w:eastAsia="zh-CN"/>
              </w:rPr>
              <w:t>24</w:t>
            </w:r>
            <w:r>
              <w:rPr>
                <w:rFonts w:hint="eastAsia" w:ascii="Times New Roman" w:hAnsi="Times New Roman" w:eastAsia="宋体" w:cs="Times New Roman"/>
                <w:b w:val="0"/>
                <w:bCs w:val="0"/>
                <w:color w:val="auto"/>
                <w:sz w:val="21"/>
                <w:szCs w:val="21"/>
                <w:highlight w:val="none"/>
                <w:lang w:val="en-US" w:eastAsia="zh-CN"/>
              </w:rPr>
              <w:t xml:space="preserve">     </w:t>
            </w:r>
            <w:r>
              <w:rPr>
                <w:rFonts w:hint="default" w:ascii="Times New Roman" w:hAnsi="Times New Roman" w:eastAsia="宋体" w:cs="Times New Roman"/>
                <w:b w:val="0"/>
                <w:bCs w:val="0"/>
                <w:color w:val="auto"/>
                <w:sz w:val="21"/>
                <w:szCs w:val="21"/>
                <w:highlight w:val="none"/>
                <w:lang w:val="en-US" w:eastAsia="zh-CN"/>
              </w:rPr>
              <w:t xml:space="preserve"> </w:t>
            </w:r>
            <w:r>
              <w:rPr>
                <w:rFonts w:hint="default" w:ascii="宋体" w:hAnsi="宋体" w:eastAsia="宋体" w:cs="宋体"/>
                <w:b/>
                <w:bCs/>
                <w:color w:val="auto"/>
                <w:kern w:val="0"/>
                <w:sz w:val="24"/>
                <w:szCs w:val="24"/>
                <w:highlight w:val="none"/>
                <w:lang w:val="en-US" w:eastAsia="zh-CN" w:bidi="ar-SA"/>
              </w:rPr>
              <w:t>《工业企业厂界环境噪声排放标准》（GB 12348-2008）</w:t>
            </w:r>
          </w:p>
          <w:tbl>
            <w:tblPr>
              <w:tblStyle w:val="35"/>
              <w:tblW w:w="839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294"/>
              <w:gridCol w:w="3032"/>
              <w:gridCol w:w="306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70" w:type="dxa"/>
                  <w:noWrap w:val="0"/>
                  <w:vAlign w:val="center"/>
                </w:tcPr>
                <w:p>
                  <w:pPr>
                    <w:jc w:val="center"/>
                    <w:rPr>
                      <w:rFonts w:hint="default" w:ascii="Times New Roman" w:hAnsi="Times New Roman" w:eastAsia="宋体" w:cs="Times New Roman"/>
                      <w:b/>
                      <w:snapToGrid w:val="0"/>
                      <w:color w:val="auto"/>
                      <w:kern w:val="0"/>
                      <w:sz w:val="21"/>
                      <w:szCs w:val="21"/>
                      <w:highlight w:val="none"/>
                    </w:rPr>
                  </w:pPr>
                  <w:r>
                    <w:rPr>
                      <w:rFonts w:hint="default" w:ascii="Times New Roman" w:hAnsi="Times New Roman" w:eastAsia="宋体" w:cs="Times New Roman"/>
                      <w:b/>
                      <w:snapToGrid w:val="0"/>
                      <w:color w:val="auto"/>
                      <w:kern w:val="0"/>
                      <w:sz w:val="21"/>
                      <w:szCs w:val="21"/>
                      <w:highlight w:val="none"/>
                    </w:rPr>
                    <w:t>类别</w:t>
                  </w:r>
                </w:p>
              </w:tc>
              <w:tc>
                <w:tcPr>
                  <w:tcW w:w="2868" w:type="dxa"/>
                  <w:noWrap w:val="0"/>
                  <w:vAlign w:val="center"/>
                </w:tcPr>
                <w:p>
                  <w:pPr>
                    <w:jc w:val="center"/>
                    <w:rPr>
                      <w:rFonts w:hint="default" w:ascii="Times New Roman" w:hAnsi="Times New Roman" w:eastAsia="宋体" w:cs="Times New Roman"/>
                      <w:b/>
                      <w:snapToGrid w:val="0"/>
                      <w:color w:val="auto"/>
                      <w:kern w:val="0"/>
                      <w:sz w:val="21"/>
                      <w:szCs w:val="21"/>
                      <w:highlight w:val="none"/>
                    </w:rPr>
                  </w:pPr>
                  <w:r>
                    <w:rPr>
                      <w:rFonts w:hint="default" w:ascii="Times New Roman" w:hAnsi="Times New Roman" w:eastAsia="宋体" w:cs="Times New Roman"/>
                      <w:b/>
                      <w:snapToGrid w:val="0"/>
                      <w:color w:val="auto"/>
                      <w:kern w:val="0"/>
                      <w:sz w:val="21"/>
                      <w:szCs w:val="21"/>
                      <w:highlight w:val="none"/>
                    </w:rPr>
                    <w:t>昼间</w:t>
                  </w:r>
                  <w:r>
                    <w:rPr>
                      <w:rFonts w:hint="default" w:ascii="Times New Roman" w:hAnsi="Times New Roman" w:eastAsia="宋体" w:cs="Times New Roman"/>
                      <w:snapToGrid w:val="0"/>
                      <w:color w:val="auto"/>
                      <w:kern w:val="0"/>
                      <w:sz w:val="21"/>
                      <w:szCs w:val="21"/>
                      <w:highlight w:val="none"/>
                    </w:rPr>
                    <w:t>dB(A)</w:t>
                  </w:r>
                </w:p>
              </w:tc>
              <w:tc>
                <w:tcPr>
                  <w:tcW w:w="2899" w:type="dxa"/>
                  <w:noWrap w:val="0"/>
                  <w:vAlign w:val="center"/>
                </w:tcPr>
                <w:p>
                  <w:pPr>
                    <w:jc w:val="center"/>
                    <w:rPr>
                      <w:rFonts w:hint="default" w:ascii="Times New Roman" w:hAnsi="Times New Roman" w:eastAsia="宋体" w:cs="Times New Roman"/>
                      <w:b/>
                      <w:snapToGrid w:val="0"/>
                      <w:color w:val="auto"/>
                      <w:kern w:val="0"/>
                      <w:sz w:val="21"/>
                      <w:szCs w:val="21"/>
                      <w:highlight w:val="none"/>
                    </w:rPr>
                  </w:pPr>
                  <w:r>
                    <w:rPr>
                      <w:rFonts w:hint="default" w:ascii="Times New Roman" w:hAnsi="Times New Roman" w:eastAsia="宋体" w:cs="Times New Roman"/>
                      <w:b/>
                      <w:snapToGrid w:val="0"/>
                      <w:color w:val="auto"/>
                      <w:kern w:val="0"/>
                      <w:sz w:val="21"/>
                      <w:szCs w:val="21"/>
                      <w:highlight w:val="none"/>
                    </w:rPr>
                    <w:t>夜间</w:t>
                  </w:r>
                  <w:r>
                    <w:rPr>
                      <w:rFonts w:hint="default" w:ascii="Times New Roman" w:hAnsi="Times New Roman" w:eastAsia="宋体" w:cs="Times New Roman"/>
                      <w:snapToGrid w:val="0"/>
                      <w:color w:val="auto"/>
                      <w:kern w:val="0"/>
                      <w:sz w:val="21"/>
                      <w:szCs w:val="21"/>
                      <w:highlight w:val="none"/>
                    </w:rPr>
                    <w:t>dB(A)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70" w:type="dxa"/>
                  <w:noWrap w:val="0"/>
                  <w:vAlign w:val="center"/>
                </w:tcPr>
                <w:p>
                  <w:pPr>
                    <w:jc w:val="center"/>
                    <w:rPr>
                      <w:rFonts w:hint="default"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rPr>
                    <w:t>1</w:t>
                  </w:r>
                  <w:r>
                    <w:rPr>
                      <w:rFonts w:hint="default" w:ascii="Times New Roman" w:hAnsi="Times New Roman" w:eastAsia="宋体" w:cs="Times New Roman"/>
                      <w:snapToGrid w:val="0"/>
                      <w:color w:val="auto"/>
                      <w:kern w:val="0"/>
                      <w:sz w:val="21"/>
                      <w:szCs w:val="21"/>
                      <w:highlight w:val="none"/>
                    </w:rPr>
                    <w:t>类</w:t>
                  </w:r>
                </w:p>
              </w:tc>
              <w:tc>
                <w:tcPr>
                  <w:tcW w:w="2868" w:type="dxa"/>
                  <w:noWrap w:val="0"/>
                  <w:vAlign w:val="center"/>
                </w:tcPr>
                <w:p>
                  <w:pPr>
                    <w:jc w:val="center"/>
                    <w:rPr>
                      <w:rFonts w:hint="default" w:ascii="Times New Roman" w:hAnsi="Times New Roman" w:eastAsia="宋体" w:cs="Times New Roman"/>
                      <w:snapToGrid w:val="0"/>
                      <w:color w:val="auto"/>
                      <w:kern w:val="0"/>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rPr>
                    <w:t>55</w:t>
                  </w:r>
                </w:p>
              </w:tc>
              <w:tc>
                <w:tcPr>
                  <w:tcW w:w="2899" w:type="dxa"/>
                  <w:noWrap w:val="0"/>
                  <w:vAlign w:val="center"/>
                </w:tcPr>
                <w:p>
                  <w:pPr>
                    <w:jc w:val="center"/>
                    <w:rPr>
                      <w:rFonts w:hint="default" w:ascii="Times New Roman" w:hAnsi="Times New Roman" w:eastAsia="宋体" w:cs="Times New Roman"/>
                      <w:snapToGrid w:val="0"/>
                      <w:color w:val="auto"/>
                      <w:kern w:val="0"/>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rPr>
                    <w:t>45</w:t>
                  </w:r>
                </w:p>
              </w:tc>
            </w:tr>
          </w:tbl>
          <w:p>
            <w:pPr>
              <w:numPr>
                <w:ilvl w:val="0"/>
                <w:numId w:val="0"/>
              </w:numPr>
              <w:adjustRightInd w:val="0"/>
              <w:snapToGrid w:val="0"/>
              <w:spacing w:line="360" w:lineRule="auto"/>
              <w:ind w:firstLine="480" w:firstLineChars="200"/>
              <w:rPr>
                <w:rFonts w:hint="eastAsia" w:ascii="Times New Roman" w:hAnsi="Times New Roman" w:eastAsia="仿宋_GB2312" w:cs="Times New Roman"/>
                <w:color w:val="auto"/>
                <w:kern w:val="0"/>
                <w:sz w:val="24"/>
                <w:szCs w:val="24"/>
                <w:highlight w:val="none"/>
                <w:lang w:val="en-US" w:eastAsia="zh-CN"/>
              </w:rPr>
            </w:pPr>
            <w:r>
              <w:rPr>
                <w:rFonts w:hint="default" w:ascii="Times New Roman" w:hAnsi="Times New Roman" w:eastAsia="仿宋_GB2312" w:cs="Times New Roman"/>
                <w:color w:val="auto"/>
                <w:kern w:val="0"/>
                <w:sz w:val="24"/>
                <w:szCs w:val="24"/>
                <w:highlight w:val="none"/>
                <w:lang w:val="en-US" w:eastAsia="zh-CN"/>
              </w:rPr>
              <w:fldChar w:fldCharType="begin"/>
            </w:r>
            <w:r>
              <w:rPr>
                <w:rFonts w:hint="default" w:ascii="Times New Roman" w:hAnsi="Times New Roman" w:eastAsia="仿宋_GB2312" w:cs="Times New Roman"/>
                <w:color w:val="auto"/>
                <w:kern w:val="0"/>
                <w:sz w:val="24"/>
                <w:szCs w:val="24"/>
                <w:highlight w:val="none"/>
                <w:lang w:val="en-US" w:eastAsia="zh-CN"/>
              </w:rPr>
              <w:instrText xml:space="preserve"> = 3 \* GB2 \* MERGEFORMAT </w:instrText>
            </w:r>
            <w:r>
              <w:rPr>
                <w:rFonts w:hint="default" w:ascii="Times New Roman" w:hAnsi="Times New Roman" w:eastAsia="仿宋_GB2312" w:cs="Times New Roman"/>
                <w:color w:val="auto"/>
                <w:kern w:val="0"/>
                <w:sz w:val="24"/>
                <w:szCs w:val="24"/>
                <w:highlight w:val="none"/>
                <w:lang w:val="en-US" w:eastAsia="zh-CN"/>
              </w:rPr>
              <w:fldChar w:fldCharType="separate"/>
            </w:r>
            <w:r>
              <w:rPr>
                <w:rFonts w:hint="default" w:ascii="Times New Roman" w:hAnsi="Times New Roman" w:eastAsia="仿宋_GB2312" w:cs="Times New Roman"/>
                <w:color w:val="auto"/>
                <w:kern w:val="0"/>
                <w:sz w:val="24"/>
                <w:szCs w:val="24"/>
                <w:highlight w:val="none"/>
                <w:lang w:eastAsia="zh-CN"/>
              </w:rPr>
              <w:t>⑶</w:t>
            </w:r>
            <w:r>
              <w:rPr>
                <w:rFonts w:hint="default" w:ascii="Times New Roman" w:hAnsi="Times New Roman" w:eastAsia="仿宋_GB2312" w:cs="Times New Roman"/>
                <w:color w:val="auto"/>
                <w:kern w:val="0"/>
                <w:sz w:val="24"/>
                <w:szCs w:val="24"/>
                <w:highlight w:val="none"/>
                <w:lang w:val="en-US" w:eastAsia="zh-CN"/>
              </w:rPr>
              <w:fldChar w:fldCharType="end"/>
            </w:r>
            <w:r>
              <w:rPr>
                <w:rFonts w:hint="eastAsia" w:ascii="Times New Roman" w:hAnsi="Times New Roman" w:eastAsia="仿宋_GB2312" w:cs="Times New Roman"/>
                <w:color w:val="auto"/>
                <w:kern w:val="0"/>
                <w:sz w:val="24"/>
                <w:szCs w:val="24"/>
                <w:highlight w:val="none"/>
                <w:lang w:val="en-US" w:eastAsia="zh-CN"/>
              </w:rPr>
              <w:t>废水</w:t>
            </w:r>
          </w:p>
          <w:p>
            <w:pPr>
              <w:numPr>
                <w:ilvl w:val="0"/>
                <w:numId w:val="0"/>
              </w:numPr>
              <w:adjustRightInd w:val="0"/>
              <w:snapToGrid w:val="0"/>
              <w:spacing w:line="360" w:lineRule="auto"/>
              <w:ind w:firstLine="480" w:firstLineChars="200"/>
              <w:rPr>
                <w:rFonts w:hint="default" w:ascii="Times New Roman" w:hAnsi="Times New Roman" w:eastAsia="仿宋_GB2312" w:cs="Times New Roman"/>
                <w:color w:val="auto"/>
                <w:kern w:val="24"/>
                <w:sz w:val="24"/>
                <w:szCs w:val="24"/>
                <w:lang w:val="en-US" w:eastAsia="zh-CN" w:bidi="ar-SA"/>
              </w:rPr>
            </w:pPr>
            <w:r>
              <w:rPr>
                <w:rFonts w:hint="default" w:ascii="Times New Roman" w:hAnsi="Times New Roman" w:eastAsia="仿宋_GB2312" w:cs="Times New Roman"/>
                <w:color w:val="auto"/>
                <w:kern w:val="0"/>
                <w:sz w:val="24"/>
                <w:szCs w:val="24"/>
                <w:highlight w:val="none"/>
                <w:lang w:val="en-US" w:eastAsia="zh-CN"/>
              </w:rPr>
              <w:t>运营</w:t>
            </w:r>
            <w:r>
              <w:rPr>
                <w:rFonts w:hint="default" w:ascii="Times New Roman" w:hAnsi="Times New Roman" w:eastAsia="仿宋_GB2312" w:cs="Times New Roman"/>
                <w:color w:val="auto"/>
                <w:kern w:val="24"/>
                <w:sz w:val="24"/>
                <w:szCs w:val="24"/>
                <w:lang w:val="en-US" w:eastAsia="zh-CN" w:bidi="ar-SA"/>
              </w:rPr>
              <w:t>期生活污水利用周边居民旱厕，定期清掏，用于周边农田施肥。少量盥洗废水用于泼洒抑尘。</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fldChar w:fldCharType="begin"/>
            </w:r>
            <w:r>
              <w:rPr>
                <w:rFonts w:hint="default" w:ascii="Times New Roman" w:hAnsi="Times New Roman" w:eastAsia="仿宋_GB2312" w:cs="Times New Roman"/>
                <w:color w:val="auto"/>
                <w:kern w:val="0"/>
                <w:sz w:val="24"/>
                <w:highlight w:val="none"/>
                <w:lang w:val="en-US" w:eastAsia="zh-CN"/>
              </w:rPr>
              <w:instrText xml:space="preserve"> = 4 \* GB2 \* MERGEFORMAT </w:instrText>
            </w:r>
            <w:r>
              <w:rPr>
                <w:rFonts w:hint="default" w:ascii="Times New Roman" w:hAnsi="Times New Roman" w:eastAsia="仿宋_GB2312" w:cs="Times New Roman"/>
                <w:color w:val="auto"/>
                <w:kern w:val="0"/>
                <w:sz w:val="24"/>
                <w:highlight w:val="none"/>
                <w:lang w:val="en-US" w:eastAsia="zh-CN"/>
              </w:rPr>
              <w:fldChar w:fldCharType="separate"/>
            </w:r>
            <w:r>
              <w:rPr>
                <w:rFonts w:hint="default" w:ascii="Times New Roman" w:hAnsi="Times New Roman" w:eastAsia="仿宋_GB2312" w:cs="Times New Roman"/>
                <w:color w:val="auto"/>
                <w:kern w:val="0"/>
                <w:sz w:val="24"/>
                <w:highlight w:val="none"/>
                <w:lang w:val="en-US" w:eastAsia="zh-CN"/>
              </w:rPr>
              <w:t>⑷</w:t>
            </w:r>
            <w:r>
              <w:rPr>
                <w:rFonts w:hint="default" w:ascii="Times New Roman" w:hAnsi="Times New Roman" w:eastAsia="仿宋_GB2312" w:cs="Times New Roman"/>
                <w:color w:val="auto"/>
                <w:kern w:val="0"/>
                <w:sz w:val="24"/>
                <w:highlight w:val="none"/>
                <w:lang w:val="en-US" w:eastAsia="zh-CN"/>
              </w:rPr>
              <w:fldChar w:fldCharType="end"/>
            </w:r>
            <w:r>
              <w:rPr>
                <w:rFonts w:hint="default" w:ascii="Times New Roman" w:hAnsi="Times New Roman" w:eastAsia="仿宋_GB2312" w:cs="Times New Roman"/>
                <w:color w:val="auto"/>
                <w:kern w:val="0"/>
                <w:sz w:val="24"/>
                <w:highlight w:val="none"/>
                <w:lang w:val="en-US" w:eastAsia="zh-CN"/>
              </w:rPr>
              <w:t>固体废物</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仿宋_GB2312" w:cs="Times New Roman"/>
                <w:color w:val="auto"/>
                <w:kern w:val="0"/>
                <w:sz w:val="24"/>
                <w:szCs w:val="24"/>
                <w:highlight w:val="none"/>
                <w:lang w:val="en-US" w:eastAsia="zh-CN"/>
              </w:rPr>
            </w:pPr>
            <w:r>
              <w:rPr>
                <w:rFonts w:hint="eastAsia" w:eastAsia="仿宋_GB2312" w:cs="Times New Roman"/>
                <w:color w:val="auto"/>
                <w:kern w:val="24"/>
                <w:sz w:val="24"/>
                <w:szCs w:val="24"/>
                <w:lang w:val="en-US" w:eastAsia="zh-CN" w:bidi="ar-SA"/>
              </w:rPr>
              <w:t>项目运营期产生的</w:t>
            </w:r>
            <w:r>
              <w:rPr>
                <w:rFonts w:hint="default" w:ascii="Times New Roman" w:hAnsi="Times New Roman" w:eastAsia="仿宋_GB2312" w:cs="Times New Roman"/>
                <w:color w:val="auto"/>
                <w:kern w:val="24"/>
                <w:sz w:val="24"/>
                <w:szCs w:val="24"/>
                <w:lang w:val="en-US" w:eastAsia="zh-CN" w:bidi="ar-SA"/>
              </w:rPr>
              <w:t>一般固废主要为生活垃圾、废包装材料、废弃菌棒；生活垃圾集中收集后交由环卫部门进行处置；废包装材料集中收集后外售处置。废弃菌棒外售综合利用。项目产生的一般固废贮存过程应满足相应防渗漏、防雨淋、防扬尘等环境保护要求。</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2476" w:hRule="atLeast"/>
          <w:jc w:val="center"/>
        </w:trPr>
        <w:tc>
          <w:tcPr>
            <w:tcW w:w="532" w:type="dxa"/>
            <w:tcBorders>
              <w:tl2br w:val="nil"/>
              <w:tr2bl w:val="nil"/>
            </w:tcBorders>
            <w:vAlign w:val="center"/>
          </w:tcPr>
          <w:p>
            <w:pPr>
              <w:adjustRightInd w:val="0"/>
              <w:snapToGrid w:val="0"/>
              <w:jc w:val="both"/>
              <w:rPr>
                <w:rFonts w:hint="default" w:ascii="Times New Roman" w:hAnsi="Times New Roman" w:eastAsia="仿宋_GB2312" w:cs="Times New Roman"/>
                <w:color w:val="auto"/>
                <w:highlight w:val="none"/>
                <w:lang w:eastAsia="zh-CN"/>
              </w:rPr>
            </w:pPr>
            <w:r>
              <w:rPr>
                <w:rFonts w:hint="default" w:ascii="Times New Roman" w:hAnsi="Times New Roman" w:eastAsia="仿宋_GB2312" w:cs="Times New Roman"/>
                <w:b/>
                <w:bCs/>
                <w:color w:val="auto"/>
                <w:kern w:val="0"/>
                <w:sz w:val="24"/>
                <w:highlight w:val="none"/>
                <w:lang w:eastAsia="zh-CN"/>
              </w:rPr>
              <w:t>其他</w:t>
            </w:r>
          </w:p>
        </w:tc>
        <w:tc>
          <w:tcPr>
            <w:tcW w:w="8669" w:type="dxa"/>
            <w:tcBorders>
              <w:tl2br w:val="nil"/>
              <w:tr2bl w:val="nil"/>
            </w:tcBorders>
            <w:vAlign w:val="center"/>
          </w:tcPr>
          <w:p>
            <w:pPr>
              <w:adjustRightInd w:val="0"/>
              <w:snapToGrid w:val="0"/>
              <w:spacing w:before="120" w:beforeLines="50" w:line="360" w:lineRule="auto"/>
              <w:jc w:val="center"/>
              <w:rPr>
                <w:rFonts w:hint="default"/>
                <w:color w:val="auto"/>
                <w:highlight w:val="none"/>
                <w:lang w:val="en-US" w:eastAsia="zh-CN"/>
              </w:rPr>
            </w:pPr>
            <w:r>
              <w:rPr>
                <w:rFonts w:hint="eastAsia" w:eastAsia="仿宋_GB2312" w:cs="Times New Roman"/>
                <w:color w:val="auto"/>
                <w:kern w:val="0"/>
                <w:sz w:val="24"/>
                <w:highlight w:val="none"/>
                <w:lang w:eastAsia="zh-CN"/>
              </w:rPr>
              <w:t>无</w:t>
            </w:r>
          </w:p>
        </w:tc>
      </w:tr>
    </w:tbl>
    <w:p>
      <w:pPr>
        <w:pStyle w:val="31"/>
        <w:keepNext w:val="0"/>
        <w:keepLines w:val="0"/>
        <w:pageBreakBefore w:val="0"/>
        <w:widowControl/>
        <w:kinsoku/>
        <w:wordWrap/>
        <w:overflowPunct/>
        <w:topLinePunct w:val="0"/>
        <w:autoSpaceDE/>
        <w:autoSpaceDN/>
        <w:bidi w:val="0"/>
        <w:adjustRightInd/>
        <w:snapToGrid w:val="0"/>
        <w:spacing w:before="0" w:beforeAutospacing="0" w:after="0" w:afterAutospacing="0"/>
        <w:jc w:val="center"/>
        <w:textAlignment w:val="auto"/>
        <w:outlineLvl w:val="0"/>
        <w:rPr>
          <w:rFonts w:hint="eastAsia" w:ascii="黑体" w:hAnsi="黑体" w:eastAsia="黑体"/>
          <w:snapToGrid w:val="0"/>
          <w:color w:val="auto"/>
          <w:sz w:val="30"/>
          <w:szCs w:val="30"/>
          <w:highlight w:val="none"/>
          <w:lang w:eastAsia="zh-CN"/>
        </w:rPr>
      </w:pPr>
      <w:r>
        <w:rPr>
          <w:rFonts w:hint="default" w:ascii="Times New Roman" w:hAnsi="Times New Roman" w:eastAsia="宋体" w:cs="Times New Roman"/>
          <w:snapToGrid w:val="0"/>
          <w:color w:val="auto"/>
          <w:sz w:val="36"/>
          <w:szCs w:val="36"/>
          <w:highlight w:val="none"/>
        </w:rPr>
        <w:br w:type="page"/>
      </w:r>
      <w:r>
        <w:rPr>
          <w:rFonts w:hint="eastAsia" w:ascii="黑体" w:hAnsi="黑体" w:eastAsia="黑体"/>
          <w:snapToGrid w:val="0"/>
          <w:color w:val="auto"/>
          <w:sz w:val="30"/>
          <w:szCs w:val="30"/>
          <w:highlight w:val="none"/>
        </w:rPr>
        <w:t>四、</w:t>
      </w:r>
      <w:r>
        <w:rPr>
          <w:rFonts w:hint="eastAsia" w:ascii="黑体" w:hAnsi="黑体" w:eastAsia="黑体"/>
          <w:snapToGrid w:val="0"/>
          <w:color w:val="auto"/>
          <w:sz w:val="30"/>
          <w:szCs w:val="30"/>
          <w:highlight w:val="none"/>
          <w:lang w:eastAsia="zh-CN"/>
        </w:rPr>
        <w:t>生态环境影响分析</w:t>
      </w:r>
    </w:p>
    <w:tbl>
      <w:tblPr>
        <w:tblStyle w:val="35"/>
        <w:tblW w:w="9201"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679"/>
        <w:gridCol w:w="8522"/>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612" w:hRule="atLeast"/>
          <w:jc w:val="center"/>
        </w:trPr>
        <w:tc>
          <w:tcPr>
            <w:tcW w:w="679" w:type="dxa"/>
            <w:tcBorders>
              <w:tl2br w:val="nil"/>
              <w:tr2bl w:val="nil"/>
            </w:tcBorders>
            <w:shd w:val="clear" w:color="auto" w:fill="auto"/>
            <w:tcMar>
              <w:left w:w="28" w:type="dxa"/>
              <w:right w:w="28" w:type="dxa"/>
            </w:tcMar>
            <w:vAlign w:val="center"/>
          </w:tcPr>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r>
              <w:rPr>
                <w:rFonts w:hint="default" w:ascii="Times New Roman" w:hAnsi="Times New Roman" w:eastAsia="仿宋_GB2312" w:cs="Times New Roman"/>
                <w:b/>
                <w:bCs/>
                <w:color w:val="auto"/>
                <w:kern w:val="2"/>
                <w:szCs w:val="24"/>
                <w:highlight w:val="none"/>
                <w:lang w:eastAsia="zh-CN"/>
              </w:rPr>
              <w:t>施工期生态环境影响分析</w:t>
            </w: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r>
              <w:rPr>
                <w:rFonts w:hint="default" w:ascii="Times New Roman" w:hAnsi="Times New Roman" w:eastAsia="仿宋_GB2312" w:cs="Times New Roman"/>
                <w:b/>
                <w:bCs/>
                <w:color w:val="auto"/>
                <w:kern w:val="2"/>
                <w:szCs w:val="24"/>
                <w:highlight w:val="none"/>
                <w:lang w:eastAsia="zh-CN"/>
              </w:rPr>
              <w:t>施工期生态环境影响分析</w:t>
            </w: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r>
              <w:rPr>
                <w:rFonts w:hint="default" w:ascii="Times New Roman" w:hAnsi="Times New Roman" w:eastAsia="仿宋_GB2312" w:cs="Times New Roman"/>
                <w:b/>
                <w:bCs/>
                <w:color w:val="auto"/>
                <w:kern w:val="2"/>
                <w:szCs w:val="24"/>
                <w:highlight w:val="none"/>
                <w:lang w:eastAsia="zh-CN"/>
              </w:rPr>
              <w:t>施工期生态环境影响分析</w:t>
            </w: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val="en-US" w:eastAsia="zh-CN"/>
              </w:rPr>
            </w:pPr>
            <w:r>
              <w:rPr>
                <w:rFonts w:hint="eastAsia" w:ascii="Times New Roman" w:hAnsi="Times New Roman" w:eastAsia="仿宋_GB2312" w:cs="Times New Roman"/>
                <w:b/>
                <w:bCs/>
                <w:color w:val="auto"/>
                <w:kern w:val="2"/>
                <w:szCs w:val="24"/>
                <w:highlight w:val="none"/>
                <w:lang w:val="en-US" w:eastAsia="zh-CN"/>
              </w:rPr>
              <w:t xml:space="preserve"> </w:t>
            </w: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kern w:val="2"/>
                <w:sz w:val="24"/>
                <w:szCs w:val="24"/>
                <w:highlight w:val="none"/>
                <w:lang w:val="en-US" w:eastAsia="zh-CN" w:bidi="ar-SA"/>
              </w:rPr>
            </w:pPr>
          </w:p>
        </w:tc>
        <w:tc>
          <w:tcPr>
            <w:tcW w:w="8522"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仿宋_GB2312" w:cs="Times New Roman"/>
                <w:b/>
                <w:bCs w:val="0"/>
                <w:color w:val="auto"/>
                <w:sz w:val="24"/>
                <w:szCs w:val="24"/>
                <w:highlight w:val="none"/>
                <w:lang w:val="en-US" w:eastAsia="zh-CN"/>
              </w:rPr>
            </w:pPr>
            <w:r>
              <w:rPr>
                <w:rFonts w:hint="default" w:ascii="Times New Roman" w:hAnsi="Times New Roman" w:eastAsia="仿宋_GB2312" w:cs="Times New Roman"/>
                <w:b/>
                <w:bCs w:val="0"/>
                <w:color w:val="auto"/>
                <w:sz w:val="24"/>
                <w:szCs w:val="24"/>
                <w:highlight w:val="none"/>
                <w:lang w:val="en-US" w:eastAsia="zh-CN"/>
              </w:rPr>
              <w:t>1.施工期工艺流程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b w:val="0"/>
                <w:bCs/>
                <w:color w:val="auto"/>
                <w:sz w:val="24"/>
                <w:szCs w:val="24"/>
                <w:highlight w:val="none"/>
                <w:lang w:val="en-US" w:eastAsia="zh-CN"/>
              </w:rPr>
            </w:pPr>
            <w:r>
              <w:rPr>
                <w:rFonts w:hint="default" w:ascii="Times New Roman" w:hAnsi="Times New Roman" w:eastAsia="仿宋_GB2312" w:cs="Times New Roman"/>
                <w:b w:val="0"/>
                <w:bCs/>
                <w:color w:val="auto"/>
                <w:sz w:val="24"/>
                <w:szCs w:val="24"/>
                <w:highlight w:val="none"/>
                <w:lang w:val="en-US" w:eastAsia="zh-CN"/>
              </w:rPr>
              <w:t>本项目为新建项目，</w:t>
            </w:r>
            <w:r>
              <w:rPr>
                <w:rFonts w:hint="eastAsia" w:eastAsia="仿宋_GB2312" w:cs="Times New Roman"/>
                <w:b w:val="0"/>
                <w:bCs/>
                <w:color w:val="auto"/>
                <w:sz w:val="24"/>
                <w:szCs w:val="24"/>
                <w:highlight w:val="none"/>
                <w:lang w:val="en-US" w:eastAsia="zh-CN"/>
              </w:rPr>
              <w:t>在泾源县</w:t>
            </w:r>
            <w:r>
              <w:rPr>
                <w:rFonts w:hint="default" w:ascii="Times New Roman" w:hAnsi="Times New Roman" w:eastAsia="仿宋_GB2312" w:cs="Times New Roman"/>
                <w:b w:val="0"/>
                <w:bCs/>
                <w:color w:val="auto"/>
                <w:sz w:val="24"/>
                <w:szCs w:val="24"/>
                <w:highlight w:val="none"/>
                <w:lang w:val="en-US" w:eastAsia="zh-CN"/>
              </w:rPr>
              <w:t>农用地进行项目的建设，本次施工过程主要包括土石方工程以及厂房建设和设备安装等，施工过程中会产生施工扬尘、施工噪声、施工废水和固体废物等，对环境将造成一定的影响，项目施工期工艺流程及产污环节如下：</w:t>
            </w:r>
          </w:p>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default" w:eastAsia="仿宋_GB2312" w:cs="Times New Roman"/>
                <w:color w:val="auto"/>
                <w:sz w:val="24"/>
                <w:szCs w:val="24"/>
                <w:lang w:val="en-US" w:eastAsia="zh-CN"/>
              </w:rPr>
            </w:pPr>
            <w:r>
              <w:rPr>
                <w:rFonts w:hint="default" w:eastAsia="仿宋_GB2312" w:cs="Times New Roman"/>
                <w:color w:val="auto"/>
                <w:sz w:val="24"/>
                <w:szCs w:val="24"/>
                <w:lang w:val="en-US" w:eastAsia="zh-CN"/>
              </w:rPr>
              <w:object>
                <v:shape id="_x0000_i1025" o:spt="75" type="#_x0000_t75" style="height:138.65pt;width:399.4pt;" o:ole="t" filled="f" o:preferrelative="t" stroked="f" coordsize="21600,21600">
                  <v:path/>
                  <v:fill on="f" focussize="0,0"/>
                  <v:stroke on="f"/>
                  <v:imagedata r:id="rId19" o:title=""/>
                  <o:lock v:ext="edit" aspectratio="f"/>
                  <w10:wrap type="none"/>
                  <w10:anchorlock/>
                </v:shape>
                <o:OLEObject Type="Embed" ProgID="Visio.Drawing.15" ShapeID="_x0000_i1025" DrawAspect="Content" ObjectID="_1468075725" r:id="rId18">
                  <o:LockedField>false</o:LockedField>
                </o:OLEObject>
              </w:object>
            </w:r>
          </w:p>
          <w:p>
            <w:pPr>
              <w:keepNext w:val="0"/>
              <w:keepLines w:val="0"/>
              <w:pageBreakBefore w:val="0"/>
              <w:widowControl w:val="0"/>
              <w:kinsoku/>
              <w:wordWrap/>
              <w:overflowPunct/>
              <w:topLinePunct w:val="0"/>
              <w:autoSpaceDE/>
              <w:autoSpaceDN/>
              <w:bidi w:val="0"/>
              <w:adjustRightInd w:val="0"/>
              <w:snapToGrid w:val="0"/>
              <w:spacing w:line="360" w:lineRule="auto"/>
              <w:ind w:firstLine="481" w:firstLineChars="200"/>
              <w:jc w:val="center"/>
              <w:textAlignment w:val="auto"/>
              <w:rPr>
                <w:rFonts w:hint="default" w:ascii="Times New Roman" w:hAnsi="Times New Roman" w:eastAsia="仿宋_GB2312" w:cs="Times New Roman"/>
                <w:b/>
                <w:bCs/>
                <w:snapToGrid w:val="0"/>
                <w:color w:val="auto"/>
                <w:kern w:val="24"/>
                <w:sz w:val="24"/>
                <w:szCs w:val="24"/>
                <w:lang w:val="en-US" w:eastAsia="zh-CN" w:bidi="ar-SA"/>
              </w:rPr>
            </w:pPr>
            <w:r>
              <w:rPr>
                <w:rFonts w:hint="default" w:ascii="Times New Roman" w:hAnsi="Times New Roman" w:eastAsia="仿宋_GB2312" w:cs="Times New Roman"/>
                <w:b/>
                <w:bCs/>
                <w:snapToGrid w:val="0"/>
                <w:color w:val="auto"/>
                <w:kern w:val="24"/>
                <w:sz w:val="24"/>
                <w:szCs w:val="24"/>
                <w:lang w:val="en-US" w:eastAsia="zh-CN" w:bidi="ar-SA"/>
              </w:rPr>
              <w:t>图</w:t>
            </w:r>
            <w:r>
              <w:rPr>
                <w:rFonts w:hint="eastAsia" w:eastAsia="仿宋_GB2312" w:cs="Times New Roman"/>
                <w:b/>
                <w:bCs/>
                <w:snapToGrid w:val="0"/>
                <w:color w:val="auto"/>
                <w:kern w:val="24"/>
                <w:sz w:val="24"/>
                <w:szCs w:val="24"/>
                <w:lang w:val="en-US" w:eastAsia="zh-CN" w:bidi="ar-SA"/>
              </w:rPr>
              <w:t>2</w:t>
            </w:r>
            <w:r>
              <w:rPr>
                <w:rFonts w:hint="default" w:ascii="Times New Roman" w:hAnsi="Times New Roman" w:eastAsia="仿宋_GB2312" w:cs="Times New Roman"/>
                <w:b/>
                <w:bCs/>
                <w:snapToGrid w:val="0"/>
                <w:color w:val="auto"/>
                <w:kern w:val="24"/>
                <w:sz w:val="24"/>
                <w:szCs w:val="24"/>
                <w:lang w:val="en-US" w:eastAsia="zh-CN" w:bidi="ar-SA"/>
              </w:rPr>
              <w:t xml:space="preserve">   </w:t>
            </w:r>
            <w:r>
              <w:rPr>
                <w:rFonts w:hint="eastAsia" w:ascii="宋体" w:hAnsi="宋体" w:eastAsia="宋体" w:cs="宋体"/>
                <w:b/>
                <w:bCs/>
                <w:snapToGrid w:val="0"/>
                <w:color w:val="auto"/>
                <w:kern w:val="24"/>
                <w:sz w:val="24"/>
                <w:szCs w:val="24"/>
                <w:lang w:val="en-US" w:eastAsia="zh-CN" w:bidi="ar-SA"/>
              </w:rPr>
              <w:t>本项目施工工艺图</w:t>
            </w:r>
          </w:p>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right="0" w:rightChars="0"/>
              <w:textAlignment w:val="auto"/>
              <w:rPr>
                <w:rFonts w:hint="default" w:ascii="Times New Roman" w:hAnsi="Times New Roman" w:eastAsia="仿宋_GB2312" w:cs="Times New Roman"/>
                <w:b/>
                <w:bCs/>
                <w:color w:val="auto"/>
                <w:spacing w:val="-10"/>
                <w:sz w:val="24"/>
                <w:highlight w:val="none"/>
                <w:lang w:eastAsia="zh-CN"/>
              </w:rPr>
            </w:pPr>
            <w:r>
              <w:rPr>
                <w:rFonts w:hint="eastAsia" w:eastAsia="仿宋_GB2312" w:cs="Times New Roman"/>
                <w:b/>
                <w:bCs/>
                <w:color w:val="auto"/>
                <w:spacing w:val="-10"/>
                <w:sz w:val="24"/>
                <w:highlight w:val="none"/>
                <w:lang w:val="en-US" w:eastAsia="zh-CN"/>
              </w:rPr>
              <w:t>2、</w:t>
            </w:r>
            <w:r>
              <w:rPr>
                <w:rFonts w:hint="default" w:ascii="Times New Roman" w:hAnsi="Times New Roman" w:eastAsia="仿宋_GB2312" w:cs="Times New Roman"/>
                <w:b/>
                <w:bCs/>
                <w:color w:val="auto"/>
                <w:spacing w:val="-10"/>
                <w:sz w:val="24"/>
                <w:highlight w:val="none"/>
                <w:lang w:eastAsia="zh-CN"/>
              </w:rPr>
              <w:t>大气环境影响分析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highlight w:val="none"/>
                <w:lang w:val="en-US" w:eastAsia="zh-CN"/>
              </w:rPr>
            </w:pPr>
            <w:r>
              <w:rPr>
                <w:rFonts w:hint="eastAsia" w:ascii="Times New Roman" w:hAnsi="Times New Roman" w:eastAsia="仿宋_GB2312" w:cs="Times New Roman"/>
                <w:color w:val="auto"/>
                <w:sz w:val="24"/>
                <w:highlight w:val="none"/>
                <w:lang w:val="en-US" w:eastAsia="zh-CN"/>
              </w:rPr>
              <w:t>施工时对周围大气环境造成影响的大气污染源主要来自挖方、填方和建筑材料运输过程中产生的扬尘，以及施工机械尾气。</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highlight w:val="none"/>
                <w:lang w:val="en-US" w:eastAsia="zh-CN"/>
              </w:rPr>
            </w:pPr>
            <w:r>
              <w:rPr>
                <w:rFonts w:hint="eastAsia" w:eastAsia="仿宋_GB2312" w:cs="Times New Roman"/>
                <w:color w:val="auto"/>
                <w:sz w:val="24"/>
                <w:highlight w:val="none"/>
                <w:lang w:val="en-US" w:eastAsia="zh-CN"/>
              </w:rPr>
              <w:t>(</w:t>
            </w:r>
            <w:r>
              <w:rPr>
                <w:rFonts w:hint="eastAsia" w:ascii="Times New Roman" w:hAnsi="Times New Roman" w:eastAsia="仿宋_GB2312" w:cs="Times New Roman"/>
                <w:color w:val="auto"/>
                <w:sz w:val="24"/>
                <w:highlight w:val="none"/>
                <w:lang w:val="en-US" w:eastAsia="zh-CN"/>
              </w:rPr>
              <w:t>1</w:t>
            </w:r>
            <w:r>
              <w:rPr>
                <w:rFonts w:hint="eastAsia" w:eastAsia="仿宋_GB2312" w:cs="Times New Roman"/>
                <w:color w:val="auto"/>
                <w:sz w:val="24"/>
                <w:highlight w:val="none"/>
                <w:lang w:val="en-US" w:eastAsia="zh-CN"/>
              </w:rPr>
              <w:t>)</w:t>
            </w:r>
            <w:r>
              <w:rPr>
                <w:rFonts w:hint="eastAsia" w:ascii="Times New Roman" w:hAnsi="Times New Roman" w:eastAsia="仿宋_GB2312" w:cs="Times New Roman"/>
                <w:color w:val="auto"/>
                <w:sz w:val="24"/>
                <w:highlight w:val="none"/>
                <w:lang w:val="en-US" w:eastAsia="zh-CN"/>
              </w:rPr>
              <w:t>施工扬尘</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highlight w:val="none"/>
                <w:lang w:val="en-US" w:eastAsia="zh-CN"/>
              </w:rPr>
            </w:pPr>
            <w:r>
              <w:rPr>
                <w:rFonts w:hint="eastAsia" w:ascii="Times New Roman" w:hAnsi="Times New Roman" w:eastAsia="仿宋_GB2312" w:cs="Times New Roman"/>
                <w:color w:val="auto"/>
                <w:sz w:val="24"/>
                <w:highlight w:val="none"/>
                <w:lang w:val="en-US" w:eastAsia="zh-CN"/>
              </w:rPr>
              <w:t>施工期场地清理和平整，建筑材料砂石装卸、转运、运输、贮存均会造成地面扬尘污染环境，其扬尘量大小与施工现场条件、施工管理水平、机械化程度高低及施工季节、时间长短，以及土质结构、天气条件等诸多因素关系密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highlight w:val="none"/>
                <w:lang w:val="en-US" w:eastAsia="zh-CN"/>
              </w:rPr>
            </w:pPr>
            <w:r>
              <w:rPr>
                <w:rFonts w:hint="eastAsia" w:ascii="Times New Roman" w:hAnsi="Times New Roman" w:eastAsia="仿宋_GB2312" w:cs="Times New Roman"/>
                <w:color w:val="auto"/>
                <w:sz w:val="24"/>
                <w:highlight w:val="none"/>
                <w:lang w:val="en-US" w:eastAsia="zh-CN"/>
              </w:rPr>
              <w:t>本项目施工过程中滴灌铺设、</w:t>
            </w:r>
            <w:r>
              <w:rPr>
                <w:rFonts w:hint="eastAsia" w:eastAsia="仿宋_GB2312" w:cs="Times New Roman"/>
                <w:color w:val="auto"/>
                <w:sz w:val="24"/>
                <w:highlight w:val="none"/>
                <w:lang w:val="en-US" w:eastAsia="zh-CN"/>
              </w:rPr>
              <w:t>大棚等建设</w:t>
            </w:r>
            <w:r>
              <w:rPr>
                <w:rFonts w:hint="eastAsia" w:ascii="Times New Roman" w:hAnsi="Times New Roman" w:eastAsia="仿宋_GB2312" w:cs="Times New Roman"/>
                <w:color w:val="auto"/>
                <w:sz w:val="24"/>
                <w:highlight w:val="none"/>
                <w:lang w:val="en-US" w:eastAsia="zh-CN"/>
              </w:rPr>
              <w:t>过程主要为绿化过程施工，产生的扬尘比一般大型开挖施工工地要小。研究表明若在施工时采取控制措施，包括对开挖裸露处洒水等，可明显减少扬尘量。实验表明，在采取对施工面进行不定时洒水等措施后，工地扬尘量可减少70%~80%。据此估计，本项目施工场界外30mTSP的浓度可达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highlight w:val="none"/>
                <w:lang w:val="en-US" w:eastAsia="zh-CN"/>
              </w:rPr>
            </w:pPr>
            <w:r>
              <w:rPr>
                <w:rFonts w:hint="eastAsia" w:eastAsia="仿宋_GB2312" w:cs="Times New Roman"/>
                <w:color w:val="auto"/>
                <w:sz w:val="24"/>
                <w:highlight w:val="none"/>
                <w:lang w:val="en-US" w:eastAsia="zh-CN"/>
              </w:rPr>
              <w:t>(</w:t>
            </w:r>
            <w:r>
              <w:rPr>
                <w:rFonts w:hint="eastAsia" w:ascii="Times New Roman" w:hAnsi="Times New Roman" w:eastAsia="仿宋_GB2312" w:cs="Times New Roman"/>
                <w:color w:val="auto"/>
                <w:sz w:val="24"/>
                <w:highlight w:val="none"/>
                <w:lang w:val="en-US" w:eastAsia="zh-CN"/>
              </w:rPr>
              <w:t>2</w:t>
            </w:r>
            <w:r>
              <w:rPr>
                <w:rFonts w:hint="eastAsia" w:eastAsia="仿宋_GB2312" w:cs="Times New Roman"/>
                <w:color w:val="auto"/>
                <w:sz w:val="24"/>
                <w:highlight w:val="none"/>
                <w:lang w:val="en-US" w:eastAsia="zh-CN"/>
              </w:rPr>
              <w:t>)</w:t>
            </w:r>
            <w:r>
              <w:rPr>
                <w:rFonts w:hint="eastAsia" w:ascii="Times New Roman" w:hAnsi="Times New Roman" w:eastAsia="仿宋_GB2312" w:cs="Times New Roman"/>
                <w:color w:val="auto"/>
                <w:sz w:val="24"/>
                <w:highlight w:val="none"/>
                <w:lang w:val="en-US" w:eastAsia="zh-CN"/>
              </w:rPr>
              <w:t>车辆运输扬尘影响分析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eastAsia" w:ascii="Times New Roman" w:hAnsi="Times New Roman" w:eastAsia="仿宋_GB2312" w:cs="Times New Roman"/>
                <w:color w:val="auto"/>
                <w:sz w:val="24"/>
                <w:highlight w:val="none"/>
                <w:lang w:val="en-US" w:eastAsia="zh-CN"/>
              </w:rPr>
              <w:t>施工过程中对装载容易散落、飞扬、流漏物料的运输车辆管理不当，将导致施工场地周围和施工运输沿线装载物泄漏、遗撒，运输车辆在离开施工场地后因颠簸或风的作用洒落尘土，对沿途周围环境会产生一次和二次扬尘污染，影响较大的是土石方运输车辆；运输车辆在进出施工工地时，车体不清洁，车轮挂带泥沙，产生扬尘也会影响施工场地周围环境空气质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⑵运输车辆及作业机械尾气</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道路施工时一般采用挖掘机、推土机等设备，运输车辆主要有装载车、自卸汽车等。施工机械和运输车辆的动力源为柴油，所产生的尾气污染物主要为CO、THC、NOx、SO</w:t>
            </w:r>
            <w:r>
              <w:rPr>
                <w:rFonts w:hint="default" w:ascii="Times New Roman" w:hAnsi="Times New Roman" w:eastAsia="仿宋_GB2312" w:cs="Times New Roman"/>
                <w:color w:val="auto"/>
                <w:sz w:val="24"/>
                <w:highlight w:val="none"/>
                <w:vertAlign w:val="subscript"/>
                <w:lang w:val="en-US" w:eastAsia="zh-CN"/>
              </w:rPr>
              <w:t>2</w:t>
            </w:r>
            <w:r>
              <w:rPr>
                <w:rFonts w:hint="default" w:ascii="Times New Roman" w:hAnsi="Times New Roman" w:eastAsia="仿宋_GB2312" w:cs="Times New Roman"/>
                <w:color w:val="auto"/>
                <w:sz w:val="24"/>
                <w:highlight w:val="none"/>
                <w:lang w:val="en-US" w:eastAsia="zh-CN"/>
              </w:rPr>
              <w:t>，会对施工道路两侧和运输路线两侧局部范围产生一定不良影响。根据《环境保护实用数据手册》，载重汽车尾气主要污染物排放浓度约为CO＜105g/m</w:t>
            </w:r>
            <w:r>
              <w:rPr>
                <w:rFonts w:hint="default" w:ascii="Times New Roman" w:hAnsi="Times New Roman" w:eastAsia="仿宋_GB2312" w:cs="Times New Roman"/>
                <w:color w:val="auto"/>
                <w:sz w:val="24"/>
                <w:highlight w:val="none"/>
                <w:vertAlign w:val="superscript"/>
                <w:lang w:val="en-US" w:eastAsia="zh-CN"/>
              </w:rPr>
              <w:t>3</w:t>
            </w:r>
            <w:r>
              <w:rPr>
                <w:rFonts w:hint="default" w:ascii="Times New Roman" w:hAnsi="Times New Roman" w:eastAsia="仿宋_GB2312" w:cs="Times New Roman"/>
                <w:color w:val="auto"/>
                <w:sz w:val="24"/>
                <w:highlight w:val="none"/>
                <w:lang w:val="en-US" w:eastAsia="zh-CN"/>
              </w:rPr>
              <w:t>、NO</w:t>
            </w:r>
            <w:r>
              <w:rPr>
                <w:rFonts w:hint="default" w:ascii="Times New Roman" w:hAnsi="Times New Roman" w:eastAsia="仿宋_GB2312" w:cs="Times New Roman"/>
                <w:color w:val="auto"/>
                <w:sz w:val="24"/>
                <w:highlight w:val="none"/>
                <w:vertAlign w:val="subscript"/>
                <w:lang w:val="en-US" w:eastAsia="zh-CN"/>
              </w:rPr>
              <w:t>x</w:t>
            </w:r>
            <w:r>
              <w:rPr>
                <w:rFonts w:hint="default" w:ascii="Times New Roman" w:hAnsi="Times New Roman" w:eastAsia="仿宋_GB2312" w:cs="Times New Roman"/>
                <w:color w:val="auto"/>
                <w:sz w:val="24"/>
                <w:highlight w:val="none"/>
                <w:lang w:val="en-US" w:eastAsia="zh-CN"/>
              </w:rPr>
              <w:t>＜1.65g/m</w:t>
            </w:r>
            <w:r>
              <w:rPr>
                <w:rFonts w:hint="default" w:ascii="Times New Roman" w:hAnsi="Times New Roman" w:eastAsia="仿宋_GB2312" w:cs="Times New Roman"/>
                <w:color w:val="auto"/>
                <w:sz w:val="24"/>
                <w:highlight w:val="none"/>
                <w:vertAlign w:val="superscript"/>
                <w:lang w:val="en-US" w:eastAsia="zh-CN"/>
              </w:rPr>
              <w:t>3</w:t>
            </w:r>
            <w:r>
              <w:rPr>
                <w:rFonts w:hint="default" w:ascii="Times New Roman" w:hAnsi="Times New Roman" w:eastAsia="仿宋_GB2312" w:cs="Times New Roman"/>
                <w:color w:val="auto"/>
                <w:sz w:val="24"/>
                <w:highlight w:val="none"/>
                <w:lang w:val="en-US" w:eastAsia="zh-CN"/>
              </w:rPr>
              <w:t>。由于施工机械多为大型机械，但施工机械同时施工数量少且较分散，其污染程度相对较轻。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仿宋_GB2312" w:cs="Times New Roman"/>
                <w:color w:val="auto"/>
                <w:sz w:val="24"/>
                <w:highlight w:val="none"/>
                <w:lang w:val="en-US" w:eastAsia="zh-CN"/>
              </w:rPr>
            </w:pPr>
            <w:r>
              <w:rPr>
                <w:rFonts w:hint="eastAsia" w:eastAsia="仿宋_GB2312" w:cs="Times New Roman"/>
                <w:color w:val="auto"/>
                <w:sz w:val="24"/>
                <w:highlight w:val="none"/>
                <w:lang w:val="en-US" w:eastAsia="zh-CN"/>
              </w:rPr>
              <w:t>(3)道路扬尘</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eastAsia="仿宋_GB2312" w:cs="Times New Roman"/>
                <w:color w:val="auto"/>
                <w:sz w:val="24"/>
                <w:highlight w:val="none"/>
                <w:lang w:val="en-US" w:eastAsia="zh-CN"/>
              </w:rPr>
            </w:pPr>
            <w:r>
              <w:rPr>
                <w:rFonts w:hint="default" w:eastAsia="仿宋_GB2312" w:cs="Times New Roman"/>
                <w:color w:val="auto"/>
                <w:sz w:val="24"/>
                <w:highlight w:val="none"/>
                <w:lang w:val="en-US" w:eastAsia="zh-CN"/>
              </w:rPr>
              <w:t>工程施工运输中的扬尘主要来自两方面：一是汽车行驶产生的路面二次扬尘；二是装载和运输物料数量较大的砂石土料等产尘物料时，若汽车防护不当，易造成物料失落和飘散。道路运输扬尘将对运输路线两侧一定区域的环境空气造成一定的污染，可能造成局部环境空气超过环境空气质量标准。在完全干燥的情况下，这部分扬尘可按下列经验公式计算：</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color w:val="auto"/>
                <w:highlight w:val="none"/>
              </w:rPr>
            </w:pPr>
            <w:r>
              <w:rPr>
                <w:rFonts w:hint="default"/>
                <w:color w:val="auto"/>
                <w:highlight w:val="none"/>
              </w:rPr>
              <w:object>
                <v:shape id="_x0000_i1026" o:spt="75" type="#_x0000_t75" style="height:31pt;width:145pt;" o:ole="t" filled="f" stroked="f" coordsize="21600,21600">
                  <v:path/>
                  <v:fill on="f" focussize="0,0"/>
                  <v:stroke on="f"/>
                  <v:imagedata r:id="rId21" o:title=""/>
                  <o:lock v:ext="edit" aspectratio="t"/>
                  <w10:wrap type="none"/>
                  <w10:anchorlock/>
                </v:shape>
                <o:OLEObject Type="Embed" ProgID="Equation.DSMT4" ShapeID="_x0000_i1026" DrawAspect="Content" ObjectID="_1468075726" r:id="rId20">
                  <o:LockedField>false</o:LockedField>
                </o:OLEObject>
              </w:objec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式中：</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Q：汽车行驶的扬尘，kg/km辆；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V：汽车速度，km/h；</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w：汽车载重量，吨；</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P：道路表面粉尘量，kg/m</w:t>
            </w:r>
            <w:r>
              <w:rPr>
                <w:rFonts w:hint="default" w:ascii="Times New Roman" w:hAnsi="Times New Roman" w:eastAsia="仿宋_GB2312" w:cs="Times New Roman"/>
                <w:color w:val="auto"/>
                <w:sz w:val="24"/>
                <w:highlight w:val="none"/>
                <w:vertAlign w:val="superscript"/>
                <w:lang w:val="en-US" w:eastAsia="zh-CN"/>
              </w:rPr>
              <w:t>2</w:t>
            </w:r>
            <w:r>
              <w:rPr>
                <w:rFonts w:hint="default" w:ascii="Times New Roman" w:hAnsi="Times New Roman" w:eastAsia="仿宋_GB2312" w:cs="Times New Roman"/>
                <w:color w:val="auto"/>
                <w:sz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通过上式计算，一辆载重量为10t的卡车，通过一段长度为lkm的路面时，不同路面清洁程度、不同行驶情况下的扬尘量。</w:t>
            </w:r>
          </w:p>
          <w:p>
            <w:pPr>
              <w:pStyle w:val="73"/>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right="0" w:rightChars="0" w:firstLine="420" w:firstLineChars="200"/>
              <w:jc w:val="both"/>
              <w:textAlignment w:val="auto"/>
              <w:rPr>
                <w:rFonts w:hint="default" w:ascii="Times New Roman" w:hAnsi="Times New Roman" w:eastAsia="宋体" w:cs="Times New Roman"/>
                <w:b/>
                <w:bCs/>
                <w:color w:val="auto"/>
                <w:spacing w:val="0"/>
                <w:kern w:val="2"/>
                <w:sz w:val="24"/>
                <w:szCs w:val="24"/>
                <w:highlight w:val="none"/>
                <w:u w:val="none"/>
                <w:lang w:val="en-US" w:eastAsia="zh-CN" w:bidi="ar-SA"/>
              </w:rPr>
            </w:pPr>
            <w:r>
              <w:rPr>
                <w:rFonts w:hint="default" w:ascii="Times New Roman" w:hAnsi="Times New Roman" w:eastAsia="宋体" w:cs="Times New Roman"/>
                <w:b w:val="0"/>
                <w:bCs w:val="0"/>
                <w:color w:val="auto"/>
                <w:spacing w:val="0"/>
                <w:kern w:val="2"/>
                <w:sz w:val="21"/>
                <w:szCs w:val="21"/>
                <w:highlight w:val="none"/>
                <w:u w:val="none"/>
                <w:lang w:val="en-US" w:eastAsia="zh-CN" w:bidi="ar-SA"/>
              </w:rPr>
              <w:t>表</w:t>
            </w:r>
            <w:r>
              <w:rPr>
                <w:rFonts w:hint="eastAsia" w:ascii="Times New Roman" w:hAnsi="Times New Roman" w:eastAsia="宋体" w:cs="Times New Roman"/>
                <w:b w:val="0"/>
                <w:bCs w:val="0"/>
                <w:color w:val="auto"/>
                <w:spacing w:val="0"/>
                <w:kern w:val="2"/>
                <w:sz w:val="21"/>
                <w:szCs w:val="21"/>
                <w:highlight w:val="none"/>
                <w:u w:val="none"/>
                <w:lang w:val="en-US" w:eastAsia="zh-CN" w:bidi="ar-SA"/>
              </w:rPr>
              <w:t xml:space="preserve">26             </w:t>
            </w:r>
            <w:r>
              <w:rPr>
                <w:rFonts w:hint="default" w:ascii="Times New Roman" w:hAnsi="Times New Roman" w:eastAsia="宋体" w:cs="Times New Roman"/>
                <w:b w:val="0"/>
                <w:bCs w:val="0"/>
                <w:color w:val="auto"/>
                <w:spacing w:val="0"/>
                <w:kern w:val="2"/>
                <w:sz w:val="21"/>
                <w:szCs w:val="21"/>
                <w:highlight w:val="none"/>
                <w:u w:val="none"/>
                <w:lang w:val="en-US" w:eastAsia="zh-CN" w:bidi="ar-SA"/>
              </w:rPr>
              <w:t xml:space="preserve">  </w:t>
            </w:r>
            <w:r>
              <w:rPr>
                <w:rFonts w:hint="eastAsia" w:ascii="Times New Roman" w:hAnsi="Times New Roman" w:eastAsia="宋体" w:cs="Times New Roman"/>
                <w:b/>
                <w:bCs/>
                <w:color w:val="auto"/>
                <w:spacing w:val="0"/>
                <w:kern w:val="2"/>
                <w:sz w:val="21"/>
                <w:szCs w:val="21"/>
                <w:highlight w:val="none"/>
                <w:u w:val="none"/>
                <w:lang w:val="en-US" w:eastAsia="zh-CN" w:bidi="ar-SA"/>
              </w:rPr>
              <w:t>不同车速和地面清洁程度的汽车扬尘量</w:t>
            </w:r>
          </w:p>
          <w:tbl>
            <w:tblPr>
              <w:tblStyle w:val="77"/>
              <w:tblW w:w="831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903"/>
              <w:gridCol w:w="1004"/>
              <w:gridCol w:w="1004"/>
              <w:gridCol w:w="1004"/>
              <w:gridCol w:w="1004"/>
              <w:gridCol w:w="1005"/>
              <w:gridCol w:w="139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84" w:hRule="atLeast"/>
                <w:jc w:val="center"/>
              </w:trPr>
              <w:tc>
                <w:tcPr>
                  <w:tcW w:w="1903" w:type="dxa"/>
                  <w:tcBorders>
                    <w:tl2br w:val="nil"/>
                    <w:tr2bl w:val="nil"/>
                  </w:tcBorders>
                  <w:vAlign w:val="top"/>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mc:AlternateContent>
                      <mc:Choice Requires="wps">
                        <w:drawing>
                          <wp:anchor distT="0" distB="0" distL="114300" distR="114300" simplePos="0" relativeHeight="251659264" behindDoc="0" locked="0" layoutInCell="1" allowOverlap="1">
                            <wp:simplePos x="0" y="0"/>
                            <wp:positionH relativeFrom="column">
                              <wp:posOffset>-6350</wp:posOffset>
                            </wp:positionH>
                            <wp:positionV relativeFrom="paragraph">
                              <wp:posOffset>-3810</wp:posOffset>
                            </wp:positionV>
                            <wp:extent cx="1202055" cy="504825"/>
                            <wp:effectExtent l="1905" t="4445" r="15240" b="5080"/>
                            <wp:wrapNone/>
                            <wp:docPr id="7" name="直接连接符 7"/>
                            <wp:cNvGraphicFramePr/>
                            <a:graphic xmlns:a="http://schemas.openxmlformats.org/drawingml/2006/main">
                              <a:graphicData uri="http://schemas.microsoft.com/office/word/2010/wordprocessingShape">
                                <wps:wsp>
                                  <wps:cNvCnPr/>
                                  <wps:spPr>
                                    <a:xfrm>
                                      <a:off x="1374140" y="1287145"/>
                                      <a:ext cx="1202055" cy="504825"/>
                                    </a:xfrm>
                                    <a:prstGeom prst="line">
                                      <a:avLst/>
                                    </a:prstGeom>
                                    <a:ln w="63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0.5pt;margin-top:-0.3pt;height:39.75pt;width:94.65pt;z-index:251659264;mso-width-relative:page;mso-height-relative:page;" filled="f" stroked="t" coordsize="21600,21600" o:gfxdata="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WAAAAZHJzL1BLAQIUABQAAAAIAIdO4kAJhX9Q1QAAAAcB&#10;AAAPAAAAAAAAAAEAIAAAADgAAABkcnMvZG93bnJldi54bWxQSwECFAAUAAAACACHTuJAQogCt88B&#10;AABdAwAADgAAAAAAAAABACAAAAA6AQAAZHJzL2Uyb0RvYy54bWxQSwUGAAAAAAYABgBZAQAAewUA&#10;AAAA&#10;">
                            <v:fill on="f" focussize="0,0"/>
                            <v:stroke weight="0.5pt" color="#000000 [3213]" joinstyle="round"/>
                            <v:imagedata o:title=""/>
                            <o:lock v:ext="edit" aspectratio="f"/>
                          </v:line>
                        </w:pict>
                      </mc:Fallback>
                    </mc:AlternateContent>
                  </w:r>
                  <w:r>
                    <w:rPr>
                      <w:rFonts w:hint="eastAsia"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P（kg/m</w:t>
                  </w:r>
                  <w:r>
                    <w:rPr>
                      <w:rFonts w:hint="default" w:ascii="Times New Roman" w:hAnsi="Times New Roman" w:eastAsia="宋体" w:cs="Times New Roman"/>
                      <w:b/>
                      <w:bCs/>
                      <w:color w:val="auto"/>
                      <w:sz w:val="21"/>
                      <w:szCs w:val="21"/>
                      <w:highlight w:val="none"/>
                      <w:vertAlign w:val="superscript"/>
                    </w:rPr>
                    <w:t>2</w:t>
                  </w:r>
                  <w:r>
                    <w:rPr>
                      <w:rFonts w:hint="default" w:ascii="Times New Roman" w:hAnsi="Times New Roman" w:eastAsia="宋体" w:cs="Times New Roman"/>
                      <w:b/>
                      <w:bCs/>
                      <w:color w:val="auto"/>
                      <w:sz w:val="21"/>
                      <w:szCs w:val="21"/>
                      <w:highlight w:val="none"/>
                    </w:rPr>
                    <w:t xml:space="preserve">） </w:t>
                  </w:r>
                </w:p>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auto"/>
                      <w:sz w:val="21"/>
                      <w:szCs w:val="21"/>
                      <w:highlight w:val="none"/>
                    </w:rPr>
                  </w:pPr>
                </w:p>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车辆（km/h）</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0.1</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0.2</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0.3</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0.4</w:t>
                  </w:r>
                </w:p>
              </w:tc>
              <w:tc>
                <w:tcPr>
                  <w:tcW w:w="1005"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0.5</w:t>
                  </w:r>
                </w:p>
              </w:tc>
              <w:tc>
                <w:tcPr>
                  <w:tcW w:w="1393"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5" w:hRule="atLeast"/>
                <w:jc w:val="center"/>
              </w:trPr>
              <w:tc>
                <w:tcPr>
                  <w:tcW w:w="1903"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0.051</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0.086</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0.116</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0.144</w:t>
                  </w:r>
                </w:p>
              </w:tc>
              <w:tc>
                <w:tcPr>
                  <w:tcW w:w="1005"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0.151</w:t>
                  </w:r>
                </w:p>
              </w:tc>
              <w:tc>
                <w:tcPr>
                  <w:tcW w:w="1393"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0.287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6" w:hRule="atLeast"/>
                <w:jc w:val="center"/>
              </w:trPr>
              <w:tc>
                <w:tcPr>
                  <w:tcW w:w="1903"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0.102</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0.171</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0.232</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0.2889</w:t>
                  </w:r>
                </w:p>
              </w:tc>
              <w:tc>
                <w:tcPr>
                  <w:tcW w:w="1005"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0.341</w:t>
                  </w:r>
                </w:p>
              </w:tc>
              <w:tc>
                <w:tcPr>
                  <w:tcW w:w="1393"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0.574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6" w:hRule="atLeast"/>
                <w:jc w:val="center"/>
              </w:trPr>
              <w:tc>
                <w:tcPr>
                  <w:tcW w:w="1903"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0.153</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0.257</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0.349</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0.433</w:t>
                  </w:r>
                </w:p>
              </w:tc>
              <w:tc>
                <w:tcPr>
                  <w:tcW w:w="1005"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0.512</w:t>
                  </w:r>
                </w:p>
              </w:tc>
              <w:tc>
                <w:tcPr>
                  <w:tcW w:w="1393"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0.861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2" w:hRule="atLeast"/>
                <w:jc w:val="center"/>
              </w:trPr>
              <w:tc>
                <w:tcPr>
                  <w:tcW w:w="1903"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0.55</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0.29</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0.582</w:t>
                  </w:r>
                </w:p>
              </w:tc>
              <w:tc>
                <w:tcPr>
                  <w:tcW w:w="100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0.722</w:t>
                  </w:r>
                </w:p>
              </w:tc>
              <w:tc>
                <w:tcPr>
                  <w:tcW w:w="1005"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0.853</w:t>
                  </w:r>
                </w:p>
              </w:tc>
              <w:tc>
                <w:tcPr>
                  <w:tcW w:w="1393"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1.435</w:t>
                  </w:r>
                </w:p>
              </w:tc>
            </w:tr>
          </w:tbl>
          <w:p>
            <w:pPr>
              <w:pStyle w:val="90"/>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在施工期间对车辆行驶路面实施洒水抑尘，每天洒水1～2次，可使空气中的粉尘量减少70%左右，扬尘造成的TSP污染距离可缩小到20～50m范围，降尘效果显著。洒水降尘试验资料见</w:t>
            </w:r>
            <w:r>
              <w:rPr>
                <w:rFonts w:hint="eastAsia" w:ascii="Times New Roman" w:hAnsi="Times New Roman" w:eastAsia="仿宋_GB2312" w:cs="Times New Roman"/>
                <w:color w:val="auto"/>
                <w:kern w:val="2"/>
                <w:sz w:val="24"/>
                <w:szCs w:val="24"/>
                <w:highlight w:val="none"/>
                <w:lang w:val="en-US" w:eastAsia="zh-CN" w:bidi="ar-SA"/>
              </w:rPr>
              <w:t>下表。</w:t>
            </w:r>
          </w:p>
          <w:p>
            <w:pPr>
              <w:pStyle w:val="73"/>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right="0" w:rightChars="0" w:firstLine="420" w:firstLineChars="200"/>
              <w:jc w:val="both"/>
              <w:textAlignment w:val="auto"/>
              <w:rPr>
                <w:rFonts w:hint="default" w:ascii="Times New Roman" w:hAnsi="Times New Roman" w:eastAsia="宋体" w:cs="Times New Roman"/>
                <w:b/>
                <w:bCs/>
                <w:color w:val="auto"/>
                <w:spacing w:val="0"/>
                <w:kern w:val="2"/>
                <w:sz w:val="24"/>
                <w:szCs w:val="24"/>
                <w:highlight w:val="none"/>
                <w:u w:val="none"/>
                <w:lang w:val="en-US" w:eastAsia="zh-CN" w:bidi="ar-SA"/>
              </w:rPr>
            </w:pPr>
            <w:r>
              <w:rPr>
                <w:rFonts w:hint="default" w:ascii="Times New Roman" w:hAnsi="Times New Roman" w:eastAsia="宋体" w:cs="Times New Roman"/>
                <w:b w:val="0"/>
                <w:bCs w:val="0"/>
                <w:color w:val="auto"/>
                <w:spacing w:val="0"/>
                <w:kern w:val="2"/>
                <w:sz w:val="21"/>
                <w:szCs w:val="21"/>
                <w:highlight w:val="none"/>
                <w:u w:val="none"/>
                <w:lang w:val="en-US" w:eastAsia="zh-CN" w:bidi="ar-SA"/>
              </w:rPr>
              <w:t>表</w:t>
            </w:r>
            <w:r>
              <w:rPr>
                <w:rFonts w:hint="eastAsia" w:ascii="Times New Roman" w:hAnsi="Times New Roman" w:eastAsia="宋体" w:cs="Times New Roman"/>
                <w:b w:val="0"/>
                <w:bCs w:val="0"/>
                <w:color w:val="auto"/>
                <w:spacing w:val="0"/>
                <w:kern w:val="2"/>
                <w:sz w:val="21"/>
                <w:szCs w:val="21"/>
                <w:highlight w:val="none"/>
                <w:u w:val="none"/>
                <w:lang w:val="en-US" w:eastAsia="zh-CN" w:bidi="ar-SA"/>
              </w:rPr>
              <w:t xml:space="preserve">27              </w:t>
            </w:r>
            <w:r>
              <w:rPr>
                <w:rFonts w:hint="default" w:ascii="Times New Roman" w:hAnsi="Times New Roman" w:eastAsia="宋体" w:cs="Times New Roman"/>
                <w:b w:val="0"/>
                <w:bCs w:val="0"/>
                <w:color w:val="auto"/>
                <w:spacing w:val="0"/>
                <w:kern w:val="2"/>
                <w:sz w:val="21"/>
                <w:szCs w:val="21"/>
                <w:highlight w:val="none"/>
                <w:u w:val="none"/>
                <w:lang w:val="en-US" w:eastAsia="zh-CN" w:bidi="ar-SA"/>
              </w:rPr>
              <w:t xml:space="preserve">  </w:t>
            </w:r>
            <w:r>
              <w:rPr>
                <w:rFonts w:hint="eastAsia" w:ascii="Times New Roman" w:hAnsi="Times New Roman" w:eastAsia="宋体" w:cs="Times New Roman"/>
                <w:b/>
                <w:bCs/>
                <w:color w:val="auto"/>
                <w:spacing w:val="0"/>
                <w:kern w:val="2"/>
                <w:sz w:val="21"/>
                <w:szCs w:val="21"/>
                <w:highlight w:val="none"/>
                <w:u w:val="none"/>
                <w:lang w:val="en-US" w:eastAsia="zh-CN" w:bidi="ar-SA"/>
              </w:rPr>
              <w:t>施工场地洒水抑尘实验效果表</w:t>
            </w:r>
          </w:p>
          <w:tbl>
            <w:tblPr>
              <w:tblStyle w:val="77"/>
              <w:tblW w:w="8293"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983"/>
              <w:gridCol w:w="1030"/>
              <w:gridCol w:w="1060"/>
              <w:gridCol w:w="1070"/>
              <w:gridCol w:w="1018"/>
              <w:gridCol w:w="994"/>
              <w:gridCol w:w="113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3" w:hRule="atLeast"/>
                <w:jc w:val="center"/>
              </w:trPr>
              <w:tc>
                <w:tcPr>
                  <w:tcW w:w="3013" w:type="dxa"/>
                  <w:gridSpan w:val="2"/>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距路边距离</w:t>
                  </w:r>
                </w:p>
              </w:tc>
              <w:tc>
                <w:tcPr>
                  <w:tcW w:w="1060"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5m</w:t>
                  </w:r>
                </w:p>
              </w:tc>
              <w:tc>
                <w:tcPr>
                  <w:tcW w:w="1070"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20m</w:t>
                  </w:r>
                </w:p>
              </w:tc>
              <w:tc>
                <w:tcPr>
                  <w:tcW w:w="1018"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50m</w:t>
                  </w:r>
                </w:p>
              </w:tc>
              <w:tc>
                <w:tcPr>
                  <w:tcW w:w="99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100m</w:t>
                  </w:r>
                </w:p>
              </w:tc>
              <w:tc>
                <w:tcPr>
                  <w:tcW w:w="1138"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200m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9" w:hRule="atLeast"/>
                <w:jc w:val="center"/>
              </w:trPr>
              <w:tc>
                <w:tcPr>
                  <w:tcW w:w="1983" w:type="dxa"/>
                  <w:vMerge w:val="restart"/>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TSP（mg/m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lang w:val="en-US" w:eastAsia="zh-CN"/>
                    </w:rPr>
                    <w:t>）</w:t>
                  </w:r>
                </w:p>
              </w:tc>
              <w:tc>
                <w:tcPr>
                  <w:tcW w:w="1030"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不洒水</w:t>
                  </w:r>
                </w:p>
              </w:tc>
              <w:tc>
                <w:tcPr>
                  <w:tcW w:w="1060"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10.14</w:t>
                  </w:r>
                </w:p>
              </w:tc>
              <w:tc>
                <w:tcPr>
                  <w:tcW w:w="1070"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1.89</w:t>
                  </w:r>
                </w:p>
              </w:tc>
              <w:tc>
                <w:tcPr>
                  <w:tcW w:w="1018"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1.15</w:t>
                  </w:r>
                </w:p>
              </w:tc>
              <w:tc>
                <w:tcPr>
                  <w:tcW w:w="99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0.86</w:t>
                  </w:r>
                </w:p>
              </w:tc>
              <w:tc>
                <w:tcPr>
                  <w:tcW w:w="1138"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0.56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9" w:hRule="atLeast"/>
                <w:jc w:val="center"/>
              </w:trPr>
              <w:tc>
                <w:tcPr>
                  <w:tcW w:w="1983" w:type="dxa"/>
                  <w:vMerge w:val="continue"/>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1030"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洒水</w:t>
                  </w:r>
                </w:p>
              </w:tc>
              <w:tc>
                <w:tcPr>
                  <w:tcW w:w="1060"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2.01</w:t>
                  </w:r>
                </w:p>
              </w:tc>
              <w:tc>
                <w:tcPr>
                  <w:tcW w:w="1070"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1.40</w:t>
                  </w:r>
                </w:p>
              </w:tc>
              <w:tc>
                <w:tcPr>
                  <w:tcW w:w="1018"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0.68</w:t>
                  </w:r>
                </w:p>
              </w:tc>
              <w:tc>
                <w:tcPr>
                  <w:tcW w:w="99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0.60</w:t>
                  </w:r>
                </w:p>
              </w:tc>
              <w:tc>
                <w:tcPr>
                  <w:tcW w:w="1138"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0.29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2" w:hRule="atLeast"/>
                <w:jc w:val="center"/>
              </w:trPr>
              <w:tc>
                <w:tcPr>
                  <w:tcW w:w="1983"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降尘率（%）</w:t>
                  </w:r>
                </w:p>
              </w:tc>
              <w:tc>
                <w:tcPr>
                  <w:tcW w:w="1030"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w:t>
                  </w:r>
                </w:p>
              </w:tc>
              <w:tc>
                <w:tcPr>
                  <w:tcW w:w="1060"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80</w:t>
                  </w:r>
                </w:p>
              </w:tc>
              <w:tc>
                <w:tcPr>
                  <w:tcW w:w="1070"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51</w:t>
                  </w:r>
                </w:p>
              </w:tc>
              <w:tc>
                <w:tcPr>
                  <w:tcW w:w="1018"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41</w:t>
                  </w:r>
                </w:p>
              </w:tc>
              <w:tc>
                <w:tcPr>
                  <w:tcW w:w="994"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30</w:t>
                  </w:r>
                </w:p>
              </w:tc>
              <w:tc>
                <w:tcPr>
                  <w:tcW w:w="1138" w:type="dxa"/>
                  <w:tcBorders>
                    <w:tl2br w:val="nil"/>
                    <w:tr2bl w:val="nil"/>
                  </w:tcBorders>
                  <w:vAlign w:val="center"/>
                </w:tcPr>
                <w:p>
                  <w:pPr>
                    <w:pStyle w:val="7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48</w:t>
                  </w:r>
                </w:p>
              </w:tc>
            </w:tr>
          </w:tbl>
          <w:p>
            <w:pPr>
              <w:pStyle w:val="90"/>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汽车运输过程中的扬尘影响程度与路面种类、天气状况以及汽车运行速度、载重量等因素有关。施工期要充分利用已有公路运输，运输道路尽量避开村庄等敏感点，对临时施工道路要加以修整，限制行车速度和车流量并洒水降尘。为降低运输扬尘对运输路线两侧的居民及植物的影响，各施工单位应以主要物料运输路线为主要降尘区域，采取定期洒水、密封运输或加盖篷布、限制车速、及时维护车辆、加强管理等措施，降低道路扬尘对周围环境的影响。</w:t>
            </w:r>
          </w:p>
          <w:p>
            <w:pPr>
              <w:pStyle w:val="90"/>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综上，因施工区域分散，且位于农村，环境背景较好，施工规划中，同一施工区域中不同工程施工时间不同，排放源密度小，且随之施工的结束，其环境影响随之消失。因此，工程施工道路扬尘对大气环境的影响较小。</w:t>
            </w:r>
          </w:p>
          <w:p>
            <w:pPr>
              <w:adjustRightInd w:val="0"/>
              <w:spacing w:line="360" w:lineRule="auto"/>
              <w:rPr>
                <w:rFonts w:hint="default" w:ascii="Times New Roman" w:hAnsi="Times New Roman" w:eastAsia="仿宋_GB2312" w:cs="Times New Roman"/>
                <w:b/>
                <w:bCs/>
                <w:color w:val="auto"/>
                <w:spacing w:val="-10"/>
                <w:sz w:val="24"/>
                <w:highlight w:val="none"/>
                <w:lang w:eastAsia="zh-CN"/>
              </w:rPr>
            </w:pPr>
            <w:r>
              <w:rPr>
                <w:rFonts w:hint="default" w:ascii="Times New Roman" w:hAnsi="Times New Roman" w:eastAsia="仿宋_GB2312" w:cs="Times New Roman"/>
                <w:b/>
                <w:bCs/>
                <w:color w:val="auto"/>
                <w:spacing w:val="-10"/>
                <w:sz w:val="24"/>
                <w:highlight w:val="none"/>
              </w:rPr>
              <w:t>3、</w:t>
            </w:r>
            <w:r>
              <w:rPr>
                <w:rFonts w:hint="default" w:ascii="Times New Roman" w:hAnsi="Times New Roman" w:eastAsia="仿宋_GB2312" w:cs="Times New Roman"/>
                <w:b/>
                <w:bCs/>
                <w:color w:val="auto"/>
                <w:spacing w:val="-10"/>
                <w:sz w:val="24"/>
                <w:highlight w:val="none"/>
                <w:lang w:eastAsia="zh-CN"/>
              </w:rPr>
              <w:t>水</w:t>
            </w:r>
            <w:r>
              <w:rPr>
                <w:rFonts w:hint="default" w:ascii="Times New Roman" w:hAnsi="Times New Roman" w:eastAsia="仿宋_GB2312" w:cs="Times New Roman"/>
                <w:b/>
                <w:bCs/>
                <w:color w:val="auto"/>
                <w:spacing w:val="-10"/>
                <w:sz w:val="24"/>
                <w:highlight w:val="none"/>
              </w:rPr>
              <w:t>环境</w:t>
            </w:r>
            <w:r>
              <w:rPr>
                <w:rFonts w:hint="default" w:ascii="Times New Roman" w:hAnsi="Times New Roman" w:eastAsia="仿宋_GB2312" w:cs="Times New Roman"/>
                <w:b/>
                <w:bCs/>
                <w:color w:val="auto"/>
                <w:spacing w:val="-10"/>
                <w:sz w:val="24"/>
                <w:highlight w:val="none"/>
                <w:lang w:eastAsia="zh-CN"/>
              </w:rPr>
              <w:t>影响分析</w:t>
            </w:r>
          </w:p>
          <w:p>
            <w:pPr>
              <w:pStyle w:val="20"/>
              <w:keepNext w:val="0"/>
              <w:keepLines w:val="0"/>
              <w:pageBreakBefore w:val="0"/>
              <w:widowControl w:val="0"/>
              <w:numPr>
                <w:ilvl w:val="0"/>
                <w:numId w:val="0"/>
              </w:numPr>
              <w:kinsoku/>
              <w:wordWrap/>
              <w:overflowPunct/>
              <w:topLinePunct w:val="0"/>
              <w:autoSpaceDE/>
              <w:autoSpaceDN/>
              <w:bidi w:val="0"/>
              <w:snapToGrid/>
              <w:spacing w:line="360" w:lineRule="auto"/>
              <w:ind w:firstLine="480" w:firstLineChars="200"/>
              <w:textAlignment w:val="auto"/>
              <w:rPr>
                <w:rFonts w:hint="eastAsia" w:eastAsia="仿宋_GB2312"/>
                <w:bCs/>
                <w:color w:val="auto"/>
                <w:spacing w:val="0"/>
                <w:sz w:val="24"/>
                <w:highlight w:val="none"/>
                <w:lang w:eastAsia="zh-CN"/>
              </w:rPr>
            </w:pPr>
            <w:r>
              <w:rPr>
                <w:rFonts w:hint="default" w:ascii="Times New Roman" w:hAnsi="Times New Roman" w:eastAsia="仿宋_GB2312" w:cs="Times New Roman"/>
                <w:color w:val="auto"/>
                <w:kern w:val="2"/>
                <w:sz w:val="24"/>
                <w:szCs w:val="24"/>
                <w:highlight w:val="none"/>
                <w:lang w:val="en-US" w:eastAsia="zh-CN" w:bidi="ar-SA"/>
              </w:rPr>
              <w:t>本项目施工期废水主要为施工废水施工人员生活污水。施工废水（主要为车辆、设备冲洗废水</w:t>
            </w:r>
            <w:r>
              <w:rPr>
                <w:rFonts w:hint="eastAsia" w:ascii="Times New Roman" w:hAnsi="Times New Roman" w:eastAsia="仿宋_GB2312" w:cs="Times New Roman"/>
                <w:color w:val="auto"/>
                <w:kern w:val="2"/>
                <w:sz w:val="24"/>
                <w:szCs w:val="24"/>
                <w:highlight w:val="none"/>
                <w:lang w:val="en-US" w:eastAsia="zh-CN" w:bidi="ar-SA"/>
              </w:rPr>
              <w:t>、混凝土养护废水</w:t>
            </w:r>
            <w:r>
              <w:rPr>
                <w:rFonts w:hint="default" w:ascii="Times New Roman" w:hAnsi="Times New Roman" w:eastAsia="仿宋_GB2312" w:cs="Times New Roman"/>
                <w:color w:val="auto"/>
                <w:kern w:val="2"/>
                <w:sz w:val="24"/>
                <w:szCs w:val="24"/>
                <w:highlight w:val="none"/>
                <w:lang w:val="en-US" w:eastAsia="zh-CN" w:bidi="ar-SA"/>
              </w:rPr>
              <w:t>等）。</w:t>
            </w:r>
            <w:r>
              <w:rPr>
                <w:rFonts w:hint="default" w:ascii="Times New Roman" w:hAnsi="Times New Roman" w:eastAsia="仿宋_GB2312" w:cs="Times New Roman"/>
                <w:color w:val="auto"/>
                <w:kern w:val="0"/>
                <w:sz w:val="24"/>
                <w:highlight w:val="none"/>
                <w:lang w:val="en-US" w:eastAsia="zh-CN"/>
              </w:rPr>
              <w:t>施工废水（主要为车辆及设备冲洗水）配套沉淀池，沉淀后回用于场地泼洒抑尘，不外排。本工程施工采用商品混凝土，少量现浇混凝土养护产生少量废水。经沉淀池沉淀后回用于混凝土养护用水，确保无废水排放。生活污水利用周边居民旱厕，定期清掏，用于周边农田施肥。少量盥洗废水用于泼洒抑尘。</w:t>
            </w:r>
            <w:r>
              <w:rPr>
                <w:rFonts w:hint="eastAsia" w:ascii="Times New Roman" w:hAnsi="Times New Roman" w:eastAsia="仿宋_GB2312" w:cs="Times New Roman"/>
                <w:color w:val="auto"/>
                <w:spacing w:val="0"/>
                <w:kern w:val="2"/>
                <w:sz w:val="24"/>
                <w:szCs w:val="24"/>
                <w:highlight w:val="none"/>
                <w:u w:val="none"/>
                <w:lang w:val="en-US" w:eastAsia="zh-CN" w:bidi="ar-SA"/>
              </w:rPr>
              <w:t>综上所述，本项目对水环境影响较小</w:t>
            </w:r>
            <w:r>
              <w:rPr>
                <w:rFonts w:hint="eastAsia" w:ascii="Times New Roman" w:hAnsi="Times New Roman" w:eastAsia="仿宋_GB2312" w:cs="Times New Roman"/>
                <w:color w:val="auto"/>
                <w:spacing w:val="0"/>
                <w:sz w:val="24"/>
                <w:szCs w:val="24"/>
                <w:highlight w:val="none"/>
                <w:lang w:val="en-US" w:eastAsia="zh-CN"/>
              </w:rPr>
              <w:t>。</w:t>
            </w:r>
          </w:p>
          <w:p>
            <w:pPr>
              <w:adjustRightInd w:val="0"/>
              <w:spacing w:line="360" w:lineRule="auto"/>
              <w:rPr>
                <w:rFonts w:hint="default" w:ascii="Times New Roman" w:hAnsi="Times New Roman" w:eastAsia="仿宋_GB2312" w:cs="Times New Roman"/>
                <w:color w:val="auto"/>
                <w:sz w:val="24"/>
                <w:szCs w:val="24"/>
                <w:highlight w:val="none"/>
                <w:lang w:eastAsia="zh-CN"/>
              </w:rPr>
            </w:pPr>
            <w:r>
              <w:rPr>
                <w:rFonts w:hint="default" w:ascii="Times New Roman" w:hAnsi="Times New Roman" w:eastAsia="仿宋_GB2312" w:cs="Times New Roman"/>
                <w:b/>
                <w:bCs/>
                <w:color w:val="auto"/>
                <w:spacing w:val="-10"/>
                <w:sz w:val="24"/>
                <w:highlight w:val="none"/>
                <w:lang w:val="en-US" w:eastAsia="zh-CN"/>
              </w:rPr>
              <w:t>4、声环境影响分析</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仿宋_GB2312" w:cs="Times New Roman"/>
                <w:color w:val="auto"/>
                <w:kern w:val="24"/>
                <w:sz w:val="24"/>
                <w:szCs w:val="24"/>
                <w:lang w:val="en-US" w:eastAsia="zh-CN" w:bidi="ar-SA"/>
              </w:rPr>
            </w:pPr>
            <w:r>
              <w:rPr>
                <w:rFonts w:hint="default" w:ascii="Times New Roman" w:hAnsi="Times New Roman" w:eastAsia="仿宋_GB2312" w:cs="Times New Roman"/>
                <w:color w:val="auto"/>
                <w:kern w:val="24"/>
                <w:sz w:val="24"/>
                <w:szCs w:val="24"/>
                <w:lang w:val="en-US" w:eastAsia="zh-CN" w:bidi="ar-SA"/>
              </w:rPr>
              <w:t>①</w:t>
            </w:r>
            <w:r>
              <w:rPr>
                <w:rFonts w:hint="eastAsia" w:ascii="Times New Roman" w:hAnsi="Times New Roman" w:eastAsia="仿宋_GB2312" w:cs="Times New Roman"/>
                <w:color w:val="auto"/>
                <w:kern w:val="24"/>
                <w:sz w:val="24"/>
                <w:szCs w:val="24"/>
                <w:lang w:val="en-US" w:eastAsia="zh-CN" w:bidi="ar-SA"/>
              </w:rPr>
              <w:t>噪声源</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0"/>
                <w:sz w:val="24"/>
              </w:rPr>
            </w:pPr>
            <w:r>
              <w:rPr>
                <w:rFonts w:hint="default" w:ascii="Times New Roman" w:hAnsi="Times New Roman" w:eastAsia="仿宋_GB2312" w:cs="Times New Roman"/>
                <w:color w:val="auto"/>
                <w:kern w:val="24"/>
                <w:sz w:val="24"/>
                <w:szCs w:val="24"/>
                <w:lang w:val="en-US" w:eastAsia="zh-CN" w:bidi="ar-SA"/>
              </w:rPr>
              <w:t>施工期噪声包括施工现场的各类机械设备和物料运输的交通噪声，其中对声环境影响最大的是机械噪声。</w:t>
            </w:r>
            <w:r>
              <w:rPr>
                <w:rFonts w:hint="eastAsia" w:ascii="Times New Roman" w:hAnsi="Times New Roman" w:eastAsia="仿宋_GB2312" w:cs="Times New Roman"/>
                <w:color w:val="auto"/>
                <w:kern w:val="24"/>
                <w:sz w:val="24"/>
                <w:szCs w:val="24"/>
                <w:lang w:val="en-US" w:eastAsia="zh-CN" w:bidi="ar-SA"/>
              </w:rPr>
              <w:t>参照《环境噪声与振动控制工程技术导则》（HJ2034-2013）可知，挖掘机等施工设备距离噪声源5m处的噪声值在82~90dB(A</w:t>
            </w:r>
            <w:r>
              <w:rPr>
                <w:rFonts w:hint="eastAsia" w:eastAsia="仿宋_GB2312" w:cs="Times New Roman"/>
                <w:color w:val="auto"/>
                <w:kern w:val="24"/>
                <w:sz w:val="24"/>
                <w:szCs w:val="24"/>
                <w:lang w:val="en-US" w:eastAsia="zh-CN" w:bidi="ar-SA"/>
              </w:rPr>
              <w:t>）</w:t>
            </w:r>
            <w:r>
              <w:rPr>
                <w:rFonts w:hint="eastAsia" w:ascii="Times New Roman" w:hAnsi="Times New Roman" w:eastAsia="仿宋_GB2312" w:cs="Times New Roman"/>
                <w:color w:val="auto"/>
                <w:kern w:val="24"/>
                <w:sz w:val="24"/>
                <w:szCs w:val="24"/>
                <w:lang w:val="en-US" w:eastAsia="zh-CN" w:bidi="ar-SA"/>
              </w:rPr>
              <w:t>之间，施工所采用设备一般为中等规模，选择适中的噪声源源强值；本项目取均值，本项目施工期设置隔声围挡，对噪声降低10dB(A</w:t>
            </w:r>
            <w:r>
              <w:rPr>
                <w:rFonts w:hint="eastAsia" w:eastAsia="仿宋_GB2312" w:cs="Times New Roman"/>
                <w:color w:val="auto"/>
                <w:kern w:val="24"/>
                <w:sz w:val="24"/>
                <w:szCs w:val="24"/>
                <w:lang w:val="en-US" w:eastAsia="zh-CN" w:bidi="ar-SA"/>
              </w:rPr>
              <w:t>）</w:t>
            </w:r>
            <w:r>
              <w:rPr>
                <w:rFonts w:hint="eastAsia" w:ascii="Times New Roman" w:hAnsi="Times New Roman" w:eastAsia="仿宋_GB2312" w:cs="Times New Roman"/>
                <w:color w:val="auto"/>
                <w:kern w:val="24"/>
                <w:sz w:val="24"/>
                <w:szCs w:val="24"/>
                <w:lang w:val="en-US" w:eastAsia="zh-CN" w:bidi="ar-SA"/>
              </w:rPr>
              <w:t>，这些施工机械产生的施工噪声属非稳态噪声源，仅在昼间进行施工</w:t>
            </w:r>
            <w:r>
              <w:rPr>
                <w:rFonts w:hint="eastAsia" w:ascii="Times New Roman" w:hAnsi="Times New Roman" w:eastAsia="宋体" w:cs="Times New Roman"/>
                <w:color w:val="auto"/>
                <w:kern w:val="0"/>
                <w:sz w:val="24"/>
              </w:rPr>
              <w:t>。</w:t>
            </w:r>
          </w:p>
          <w:p>
            <w:pPr>
              <w:ind w:firstLine="420" w:firstLineChars="200"/>
              <w:rPr>
                <w:rFonts w:hint="default" w:ascii="Times New Roman" w:hAnsi="Times New Roman" w:eastAsia="宋体" w:cs="Times New Roman"/>
                <w:b/>
                <w:bCs/>
                <w:color w:val="auto"/>
                <w:kern w:val="0"/>
                <w:sz w:val="21"/>
                <w:szCs w:val="18"/>
                <w:lang w:val="en-US" w:eastAsia="zh-CN"/>
              </w:rPr>
            </w:pPr>
            <w:r>
              <w:rPr>
                <w:rFonts w:hint="default" w:ascii="Times New Roman" w:hAnsi="Times New Roman" w:eastAsia="宋体" w:cs="Times New Roman"/>
                <w:b w:val="0"/>
                <w:bCs w:val="0"/>
                <w:color w:val="auto"/>
                <w:kern w:val="0"/>
                <w:sz w:val="21"/>
                <w:szCs w:val="18"/>
                <w:lang w:val="en-US" w:eastAsia="zh-CN"/>
              </w:rPr>
              <w:t>表</w:t>
            </w:r>
            <w:r>
              <w:rPr>
                <w:rFonts w:hint="eastAsia" w:cs="Times New Roman"/>
                <w:b w:val="0"/>
                <w:bCs w:val="0"/>
                <w:color w:val="auto"/>
                <w:kern w:val="0"/>
                <w:sz w:val="21"/>
                <w:szCs w:val="18"/>
                <w:lang w:val="en-US" w:eastAsia="zh-CN"/>
              </w:rPr>
              <w:t>28</w:t>
            </w:r>
            <w:r>
              <w:rPr>
                <w:rFonts w:hint="default" w:ascii="Times New Roman" w:hAnsi="Times New Roman" w:eastAsia="宋体" w:cs="Times New Roman"/>
                <w:b w:val="0"/>
                <w:bCs w:val="0"/>
                <w:color w:val="auto"/>
                <w:kern w:val="0"/>
                <w:sz w:val="21"/>
                <w:szCs w:val="18"/>
                <w:lang w:val="en-US" w:eastAsia="zh-CN"/>
              </w:rPr>
              <w:t xml:space="preserve"> </w:t>
            </w:r>
            <w:r>
              <w:rPr>
                <w:rFonts w:hint="eastAsia" w:cs="Times New Roman"/>
                <w:b w:val="0"/>
                <w:bCs w:val="0"/>
                <w:color w:val="auto"/>
                <w:kern w:val="0"/>
                <w:sz w:val="21"/>
                <w:szCs w:val="18"/>
                <w:lang w:val="en-US" w:eastAsia="zh-CN"/>
              </w:rPr>
              <w:t xml:space="preserve">           </w:t>
            </w:r>
            <w:r>
              <w:rPr>
                <w:rFonts w:hint="default" w:ascii="Times New Roman" w:hAnsi="Times New Roman" w:eastAsia="宋体" w:cs="Times New Roman"/>
                <w:b w:val="0"/>
                <w:bCs w:val="0"/>
                <w:color w:val="auto"/>
                <w:kern w:val="0"/>
                <w:sz w:val="21"/>
                <w:szCs w:val="18"/>
                <w:lang w:val="en-US" w:eastAsia="zh-CN"/>
              </w:rPr>
              <w:t xml:space="preserve"> </w:t>
            </w:r>
            <w:r>
              <w:rPr>
                <w:rFonts w:hint="default" w:ascii="Times New Roman" w:hAnsi="Times New Roman" w:eastAsia="宋体" w:cs="Times New Roman"/>
                <w:b/>
                <w:bCs/>
                <w:color w:val="auto"/>
                <w:kern w:val="0"/>
                <w:sz w:val="24"/>
                <w:szCs w:val="24"/>
                <w:lang w:val="en-US" w:eastAsia="zh-CN"/>
              </w:rPr>
              <w:t>常见施工设备噪声源强声压级   单位：dB</w:t>
            </w:r>
            <w:r>
              <w:rPr>
                <w:rFonts w:hint="eastAsia" w:ascii="Times New Roman" w:hAnsi="Times New Roman" w:eastAsia="宋体" w:cs="Times New Roman"/>
                <w:b/>
                <w:bCs/>
                <w:color w:val="auto"/>
                <w:kern w:val="0"/>
                <w:sz w:val="24"/>
                <w:szCs w:val="24"/>
                <w:lang w:val="en-US" w:eastAsia="zh-CN"/>
              </w:rPr>
              <w:t>(</w:t>
            </w:r>
            <w:r>
              <w:rPr>
                <w:rFonts w:hint="default" w:ascii="Times New Roman" w:hAnsi="Times New Roman" w:eastAsia="宋体" w:cs="Times New Roman"/>
                <w:b/>
                <w:bCs/>
                <w:color w:val="auto"/>
                <w:kern w:val="0"/>
                <w:sz w:val="24"/>
                <w:szCs w:val="24"/>
                <w:lang w:val="en-US" w:eastAsia="zh-CN"/>
              </w:rPr>
              <w:t>A</w:t>
            </w:r>
            <w:r>
              <w:rPr>
                <w:rFonts w:hint="eastAsia" w:ascii="Times New Roman" w:hAnsi="Times New Roman" w:eastAsia="宋体" w:cs="Times New Roman"/>
                <w:b/>
                <w:bCs/>
                <w:color w:val="auto"/>
                <w:kern w:val="0"/>
                <w:sz w:val="24"/>
                <w:szCs w:val="24"/>
                <w:lang w:val="en-US" w:eastAsia="zh-CN"/>
              </w:rPr>
              <w:t>)</w:t>
            </w:r>
          </w:p>
          <w:tbl>
            <w:tblPr>
              <w:tblStyle w:val="35"/>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757"/>
              <w:gridCol w:w="2759"/>
              <w:gridCol w:w="275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设备名称</w:t>
                  </w:r>
                </w:p>
              </w:tc>
              <w:tc>
                <w:tcPr>
                  <w:tcW w:w="282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距设备距离（m）</w:t>
                  </w:r>
                </w:p>
              </w:tc>
              <w:tc>
                <w:tcPr>
                  <w:tcW w:w="282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噪声源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液压挖掘机</w:t>
                  </w:r>
                </w:p>
              </w:tc>
              <w:tc>
                <w:tcPr>
                  <w:tcW w:w="282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5</w:t>
                  </w:r>
                </w:p>
              </w:tc>
              <w:tc>
                <w:tcPr>
                  <w:tcW w:w="282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82~90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商砼搅拌车</w:t>
                  </w:r>
                </w:p>
              </w:tc>
              <w:tc>
                <w:tcPr>
                  <w:tcW w:w="282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5</w:t>
                  </w:r>
                </w:p>
              </w:tc>
              <w:tc>
                <w:tcPr>
                  <w:tcW w:w="282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85~90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重型运输车</w:t>
                  </w:r>
                </w:p>
              </w:tc>
              <w:tc>
                <w:tcPr>
                  <w:tcW w:w="282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5</w:t>
                  </w:r>
                </w:p>
              </w:tc>
              <w:tc>
                <w:tcPr>
                  <w:tcW w:w="282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82~90</w:t>
                  </w:r>
                </w:p>
              </w:tc>
            </w:tr>
          </w:tbl>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仿宋_GB2312" w:cs="Times New Roman"/>
                <w:color w:val="auto"/>
                <w:kern w:val="24"/>
                <w:sz w:val="24"/>
                <w:szCs w:val="24"/>
                <w:lang w:val="en-US" w:eastAsia="zh-CN" w:bidi="ar-SA"/>
              </w:rPr>
            </w:pPr>
            <w:r>
              <w:rPr>
                <w:rFonts w:hint="eastAsia" w:ascii="Times New Roman" w:hAnsi="Times New Roman" w:eastAsia="仿宋_GB2312" w:cs="Times New Roman"/>
                <w:color w:val="auto"/>
                <w:kern w:val="24"/>
                <w:sz w:val="24"/>
                <w:szCs w:val="24"/>
                <w:lang w:val="en-US" w:eastAsia="zh-CN" w:bidi="ar-SA"/>
              </w:rPr>
              <w:t>②施工期噪声影响预测模式</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0"/>
                <w:sz w:val="24"/>
              </w:rPr>
            </w:pPr>
            <w:r>
              <w:rPr>
                <w:rFonts w:hint="eastAsia" w:ascii="Times New Roman" w:hAnsi="Times New Roman" w:eastAsia="仿宋_GB2312" w:cs="Times New Roman"/>
                <w:color w:val="auto"/>
                <w:kern w:val="24"/>
                <w:sz w:val="24"/>
                <w:szCs w:val="24"/>
                <w:lang w:val="en-US" w:eastAsia="zh-CN" w:bidi="ar-SA"/>
              </w:rPr>
              <w:t>施工机械声源当作点声源，不考虑空气吸收，其噪声影响预测模式为</w:t>
            </w:r>
            <w:r>
              <w:rPr>
                <w:rFonts w:hint="eastAsia" w:ascii="Times New Roman" w:hAnsi="Times New Roman" w:eastAsia="宋体" w:cs="Times New Roman"/>
                <w:color w:val="auto"/>
                <w:kern w:val="0"/>
                <w:sz w:val="24"/>
              </w:rPr>
              <w:t>：</w:t>
            </w:r>
          </w:p>
          <w:p>
            <w:pPr>
              <w:topLinePunct w:val="0"/>
              <w:autoSpaceDE w:val="0"/>
              <w:autoSpaceDN w:val="0"/>
              <w:adjustRightInd w:val="0"/>
              <w:snapToGrid w:val="0"/>
              <w:spacing w:line="360" w:lineRule="auto"/>
              <w:ind w:firstLine="0" w:firstLineChars="0"/>
              <w:jc w:val="center"/>
              <w:rPr>
                <w:rFonts w:hint="eastAsia" w:ascii="Times New Roman" w:hAnsi="Times New Roman" w:eastAsia="宋体" w:cs="Times New Roman"/>
                <w:color w:val="auto"/>
                <w:kern w:val="0"/>
                <w:sz w:val="24"/>
              </w:rPr>
            </w:pPr>
            <w:r>
              <w:rPr>
                <w:rFonts w:hint="eastAsia" w:ascii="Times New Roman" w:hAnsi="Times New Roman" w:eastAsia="宋体" w:cs="Times New Roman"/>
                <w:color w:val="auto"/>
                <w:kern w:val="0"/>
                <w:sz w:val="24"/>
              </w:rPr>
              <w:t>L</w:t>
            </w:r>
            <w:r>
              <w:rPr>
                <w:rFonts w:hint="eastAsia" w:ascii="Times New Roman" w:hAnsi="Times New Roman" w:eastAsia="宋体" w:cs="Times New Roman"/>
                <w:color w:val="auto"/>
                <w:kern w:val="0"/>
                <w:sz w:val="24"/>
                <w:vertAlign w:val="subscript"/>
              </w:rPr>
              <w:t>p</w:t>
            </w:r>
            <w:r>
              <w:rPr>
                <w:rFonts w:hint="eastAsia" w:ascii="Times New Roman" w:hAnsi="Times New Roman" w:eastAsia="宋体" w:cs="Times New Roman"/>
                <w:color w:val="auto"/>
                <w:kern w:val="0"/>
                <w:sz w:val="24"/>
              </w:rPr>
              <w:t>=L</w:t>
            </w:r>
            <w:r>
              <w:rPr>
                <w:rFonts w:hint="eastAsia" w:ascii="Times New Roman" w:hAnsi="Times New Roman" w:eastAsia="宋体" w:cs="Times New Roman"/>
                <w:color w:val="auto"/>
                <w:kern w:val="0"/>
                <w:sz w:val="24"/>
                <w:vertAlign w:val="subscript"/>
              </w:rPr>
              <w:t>P0</w:t>
            </w:r>
            <w:r>
              <w:rPr>
                <w:rFonts w:hint="eastAsia" w:ascii="Times New Roman" w:hAnsi="Times New Roman" w:eastAsia="宋体" w:cs="Times New Roman"/>
                <w:color w:val="auto"/>
                <w:kern w:val="0"/>
                <w:sz w:val="24"/>
              </w:rPr>
              <w:t>-20Log(</w:t>
            </w:r>
            <w:r>
              <w:rPr>
                <w:rFonts w:hint="eastAsia" w:ascii="Times New Roman" w:hAnsi="Times New Roman" w:eastAsia="宋体" w:cs="Times New Roman"/>
                <w:color w:val="auto"/>
                <w:kern w:val="0"/>
                <w:sz w:val="24"/>
                <w:vertAlign w:val="subscript"/>
              </w:rPr>
              <w:t>r</w:t>
            </w:r>
            <w:r>
              <w:rPr>
                <w:rFonts w:hint="eastAsia" w:ascii="Times New Roman" w:hAnsi="Times New Roman" w:eastAsia="宋体" w:cs="Times New Roman"/>
                <w:color w:val="auto"/>
                <w:kern w:val="0"/>
                <w:sz w:val="24"/>
              </w:rPr>
              <w:t>/</w:t>
            </w:r>
            <w:r>
              <w:rPr>
                <w:rFonts w:hint="eastAsia" w:ascii="Times New Roman" w:hAnsi="Times New Roman" w:eastAsia="宋体" w:cs="Times New Roman"/>
                <w:color w:val="auto"/>
                <w:kern w:val="0"/>
                <w:sz w:val="24"/>
                <w:vertAlign w:val="subscript"/>
              </w:rPr>
              <w:t>r0</w:t>
            </w:r>
            <w:r>
              <w:rPr>
                <w:rFonts w:hint="eastAsia" w:ascii="Times New Roman" w:hAnsi="Times New Roman" w:eastAsia="宋体" w:cs="Times New Roman"/>
                <w:color w:val="auto"/>
                <w:kern w:val="0"/>
                <w:sz w:val="24"/>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color w:val="auto"/>
                <w:kern w:val="0"/>
                <w:sz w:val="24"/>
              </w:rPr>
            </w:pPr>
            <w:r>
              <w:rPr>
                <w:rFonts w:hint="eastAsia" w:ascii="Times New Roman" w:hAnsi="Times New Roman" w:eastAsia="仿宋_GB2312" w:cs="Times New Roman"/>
                <w:color w:val="auto"/>
                <w:kern w:val="24"/>
                <w:sz w:val="24"/>
                <w:szCs w:val="24"/>
                <w:lang w:val="en-US" w:eastAsia="zh-CN" w:bidi="ar-SA"/>
              </w:rPr>
              <w:t>式中</w:t>
            </w:r>
            <w:r>
              <w:rPr>
                <w:rFonts w:hint="eastAsia" w:ascii="Times New Roman" w:hAnsi="Times New Roman" w:eastAsia="宋体" w:cs="Times New Roman"/>
                <w:color w:val="auto"/>
                <w:kern w:val="0"/>
                <w:sz w:val="24"/>
              </w:rPr>
              <w:t>：L</w:t>
            </w:r>
            <w:r>
              <w:rPr>
                <w:rFonts w:hint="eastAsia" w:ascii="Times New Roman" w:hAnsi="Times New Roman" w:eastAsia="宋体" w:cs="Times New Roman"/>
                <w:color w:val="auto"/>
                <w:kern w:val="0"/>
                <w:sz w:val="24"/>
                <w:vertAlign w:val="subscript"/>
              </w:rPr>
              <w:t>p</w:t>
            </w:r>
            <w:r>
              <w:rPr>
                <w:rFonts w:hint="eastAsia" w:ascii="Times New Roman" w:hAnsi="Times New Roman" w:eastAsia="宋体" w:cs="Times New Roman"/>
                <w:color w:val="auto"/>
                <w:kern w:val="0"/>
                <w:sz w:val="24"/>
              </w:rPr>
              <w:t>-</w:t>
            </w:r>
            <w:r>
              <w:rPr>
                <w:rFonts w:hint="eastAsia" w:ascii="Times New Roman" w:hAnsi="Times New Roman" w:eastAsia="仿宋_GB2312" w:cs="Times New Roman"/>
                <w:color w:val="auto"/>
                <w:kern w:val="24"/>
                <w:sz w:val="24"/>
                <w:szCs w:val="24"/>
                <w:lang w:val="en-US" w:eastAsia="zh-CN" w:bidi="ar-SA"/>
              </w:rPr>
              <w:t>距声源r米处的施工噪声预测值</w:t>
            </w:r>
            <w:r>
              <w:rPr>
                <w:rFonts w:hint="eastAsia" w:ascii="Times New Roman" w:hAnsi="Times New Roman" w:eastAsia="宋体" w:cs="Times New Roman"/>
                <w:color w:val="auto"/>
                <w:kern w:val="0"/>
                <w:sz w:val="24"/>
              </w:rPr>
              <w:t>，dB(A</w:t>
            </w:r>
            <w:r>
              <w:rPr>
                <w:rFonts w:hint="eastAsia" w:cs="Times New Roman"/>
                <w:color w:val="auto"/>
                <w:kern w:val="0"/>
                <w:sz w:val="24"/>
                <w:lang w:eastAsia="zh-CN"/>
              </w:rPr>
              <w:t>）</w:t>
            </w:r>
            <w:r>
              <w:rPr>
                <w:rFonts w:hint="eastAsia" w:ascii="Times New Roman" w:hAnsi="Times New Roman" w:eastAsia="宋体" w:cs="Times New Roman"/>
                <w:color w:val="auto"/>
                <w:kern w:val="0"/>
                <w:sz w:val="24"/>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1200" w:firstLineChars="500"/>
              <w:textAlignment w:val="auto"/>
              <w:rPr>
                <w:rFonts w:hint="eastAsia" w:ascii="Times New Roman" w:hAnsi="Times New Roman" w:eastAsia="宋体" w:cs="Times New Roman"/>
                <w:color w:val="auto"/>
                <w:kern w:val="0"/>
                <w:sz w:val="24"/>
              </w:rPr>
            </w:pPr>
            <w:r>
              <w:rPr>
                <w:rFonts w:hint="eastAsia" w:ascii="Times New Roman" w:hAnsi="Times New Roman" w:eastAsia="宋体" w:cs="Times New Roman"/>
                <w:color w:val="auto"/>
                <w:kern w:val="0"/>
                <w:sz w:val="24"/>
              </w:rPr>
              <w:t>L</w:t>
            </w:r>
            <w:r>
              <w:rPr>
                <w:rFonts w:hint="eastAsia" w:ascii="Times New Roman" w:hAnsi="Times New Roman" w:eastAsia="宋体" w:cs="Times New Roman"/>
                <w:color w:val="auto"/>
                <w:kern w:val="0"/>
                <w:sz w:val="24"/>
                <w:vertAlign w:val="subscript"/>
              </w:rPr>
              <w:t>P0</w:t>
            </w:r>
            <w:r>
              <w:rPr>
                <w:rFonts w:hint="eastAsia" w:cs="Times New Roman"/>
                <w:color w:val="auto"/>
                <w:kern w:val="0"/>
                <w:sz w:val="24"/>
                <w:vertAlign w:val="subscript"/>
                <w:lang w:eastAsia="zh-CN"/>
              </w:rPr>
              <w:t>－</w:t>
            </w:r>
            <w:r>
              <w:rPr>
                <w:rFonts w:hint="eastAsia" w:ascii="Times New Roman" w:hAnsi="Times New Roman" w:eastAsia="仿宋_GB2312" w:cs="Times New Roman"/>
                <w:color w:val="auto"/>
                <w:kern w:val="24"/>
                <w:sz w:val="24"/>
                <w:szCs w:val="24"/>
                <w:lang w:val="en-US" w:eastAsia="zh-CN" w:bidi="ar-SA"/>
              </w:rPr>
              <w:t>距声源r0米处的参考声级</w:t>
            </w:r>
            <w:r>
              <w:rPr>
                <w:rFonts w:hint="eastAsia" w:ascii="Times New Roman" w:hAnsi="Times New Roman" w:eastAsia="宋体" w:cs="Times New Roman"/>
                <w:color w:val="auto"/>
                <w:kern w:val="0"/>
                <w:sz w:val="24"/>
              </w:rPr>
              <w:t>，dB(A</w:t>
            </w:r>
            <w:r>
              <w:rPr>
                <w:rFonts w:hint="eastAsia" w:cs="Times New Roman"/>
                <w:color w:val="auto"/>
                <w:kern w:val="0"/>
                <w:sz w:val="24"/>
                <w:lang w:eastAsia="zh-CN"/>
              </w:rPr>
              <w:t>）</w:t>
            </w:r>
            <w:r>
              <w:rPr>
                <w:rFonts w:hint="eastAsia" w:ascii="Times New Roman" w:hAnsi="Times New Roman" w:eastAsia="宋体" w:cs="Times New Roman"/>
                <w:color w:val="auto"/>
                <w:kern w:val="0"/>
                <w:sz w:val="24"/>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仿宋_GB2312" w:cs="Times New Roman"/>
                <w:color w:val="auto"/>
                <w:kern w:val="24"/>
                <w:sz w:val="24"/>
                <w:szCs w:val="24"/>
                <w:lang w:val="en-US" w:eastAsia="zh-CN" w:bidi="ar-SA"/>
              </w:rPr>
            </w:pPr>
            <w:r>
              <w:rPr>
                <w:rFonts w:hint="eastAsia" w:ascii="Times New Roman" w:hAnsi="Times New Roman" w:eastAsia="宋体" w:cs="Times New Roman"/>
                <w:color w:val="auto"/>
                <w:kern w:val="0"/>
                <w:sz w:val="24"/>
              </w:rPr>
              <w:t>③</w:t>
            </w:r>
            <w:r>
              <w:rPr>
                <w:rFonts w:hint="eastAsia" w:ascii="Times New Roman" w:hAnsi="Times New Roman" w:eastAsia="仿宋_GB2312" w:cs="Times New Roman"/>
                <w:color w:val="auto"/>
                <w:kern w:val="24"/>
                <w:sz w:val="24"/>
                <w:szCs w:val="24"/>
                <w:lang w:val="en-US" w:eastAsia="zh-CN" w:bidi="ar-SA"/>
              </w:rPr>
              <w:t>施工期噪声预测结果及影响分析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仿宋_GB2312" w:cs="Times New Roman"/>
                <w:color w:val="auto"/>
                <w:kern w:val="24"/>
                <w:sz w:val="24"/>
                <w:szCs w:val="24"/>
                <w:lang w:val="en-US" w:eastAsia="zh-CN" w:bidi="ar-SA"/>
              </w:rPr>
            </w:pPr>
            <w:r>
              <w:rPr>
                <w:rFonts w:hint="eastAsia" w:ascii="Times New Roman" w:hAnsi="Times New Roman" w:eastAsia="仿宋_GB2312" w:cs="Times New Roman"/>
                <w:color w:val="auto"/>
                <w:kern w:val="24"/>
                <w:sz w:val="24"/>
                <w:szCs w:val="24"/>
                <w:lang w:val="en-US" w:eastAsia="zh-CN" w:bidi="ar-SA"/>
              </w:rPr>
              <w:t>本项目施工机械产生的噪声随距离衰减情况见表</w:t>
            </w:r>
            <w:r>
              <w:rPr>
                <w:rFonts w:hint="eastAsia" w:eastAsia="仿宋_GB2312" w:cs="Times New Roman"/>
                <w:color w:val="auto"/>
                <w:kern w:val="24"/>
                <w:sz w:val="24"/>
                <w:szCs w:val="24"/>
                <w:lang w:val="en-US" w:eastAsia="zh-CN" w:bidi="ar-SA"/>
              </w:rPr>
              <w:t>29</w:t>
            </w:r>
            <w:r>
              <w:rPr>
                <w:rFonts w:hint="eastAsia" w:ascii="Times New Roman" w:hAnsi="Times New Roman" w:eastAsia="仿宋_GB2312" w:cs="Times New Roman"/>
                <w:color w:val="auto"/>
                <w:kern w:val="24"/>
                <w:sz w:val="24"/>
                <w:szCs w:val="24"/>
                <w:lang w:val="en-US" w:eastAsia="zh-CN" w:bidi="ar-SA"/>
              </w:rPr>
              <w:t>：</w:t>
            </w:r>
          </w:p>
          <w:p>
            <w:pPr>
              <w:ind w:firstLine="420" w:firstLineChars="200"/>
              <w:rPr>
                <w:rFonts w:hint="eastAsia" w:ascii="Times New Roman" w:hAnsi="Times New Roman" w:eastAsia="宋体" w:cs="Times New Roman"/>
                <w:b/>
                <w:bCs/>
                <w:color w:val="auto"/>
                <w:kern w:val="0"/>
                <w:sz w:val="21"/>
                <w:szCs w:val="18"/>
                <w:lang w:eastAsia="zh-CN"/>
              </w:rPr>
            </w:pPr>
            <w:bookmarkStart w:id="1" w:name="_Ref12753"/>
            <w:r>
              <w:rPr>
                <w:rFonts w:hint="default" w:ascii="Times New Roman" w:hAnsi="Times New Roman" w:eastAsia="宋体" w:cs="Times New Roman"/>
                <w:b w:val="0"/>
                <w:bCs w:val="0"/>
                <w:color w:val="auto"/>
                <w:kern w:val="0"/>
                <w:sz w:val="21"/>
                <w:szCs w:val="18"/>
              </w:rPr>
              <w:t>表</w:t>
            </w:r>
            <w:bookmarkEnd w:id="1"/>
            <w:r>
              <w:rPr>
                <w:rFonts w:hint="eastAsia" w:cs="Times New Roman"/>
                <w:b w:val="0"/>
                <w:bCs w:val="0"/>
                <w:color w:val="auto"/>
                <w:kern w:val="0"/>
                <w:sz w:val="21"/>
                <w:szCs w:val="18"/>
                <w:lang w:val="en-US" w:eastAsia="zh-CN"/>
              </w:rPr>
              <w:t xml:space="preserve">29    </w:t>
            </w:r>
            <w:r>
              <w:rPr>
                <w:rFonts w:hint="eastAsia" w:ascii="Times New Roman" w:hAnsi="Times New Roman" w:eastAsia="宋体" w:cs="Times New Roman"/>
                <w:b w:val="0"/>
                <w:bCs w:val="0"/>
                <w:color w:val="auto"/>
                <w:kern w:val="0"/>
                <w:sz w:val="21"/>
                <w:szCs w:val="18"/>
                <w:lang w:val="en-US" w:eastAsia="zh-CN"/>
              </w:rPr>
              <w:t xml:space="preserve">     </w:t>
            </w:r>
            <w:r>
              <w:rPr>
                <w:rFonts w:hint="eastAsia" w:ascii="Times New Roman" w:hAnsi="Times New Roman" w:eastAsia="宋体" w:cs="Times New Roman"/>
                <w:b/>
                <w:bCs/>
                <w:color w:val="auto"/>
                <w:kern w:val="0"/>
                <w:sz w:val="24"/>
                <w:szCs w:val="24"/>
                <w:lang w:eastAsia="zh-CN"/>
              </w:rPr>
              <w:t>主要施工机械不同距离处的噪声级统计表</w:t>
            </w:r>
          </w:p>
          <w:tbl>
            <w:tblPr>
              <w:tblStyle w:val="35"/>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71"/>
              <w:gridCol w:w="732"/>
              <w:gridCol w:w="761"/>
              <w:gridCol w:w="689"/>
              <w:gridCol w:w="746"/>
              <w:gridCol w:w="712"/>
              <w:gridCol w:w="789"/>
              <w:gridCol w:w="789"/>
              <w:gridCol w:w="882"/>
              <w:gridCol w:w="8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4"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机械类型</w:t>
                  </w:r>
                </w:p>
              </w:tc>
              <w:tc>
                <w:tcPr>
                  <w:tcW w:w="7070" w:type="dxa"/>
                  <w:gridSpan w:val="9"/>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噪声</w:t>
                  </w:r>
                  <w:r>
                    <w:rPr>
                      <w:rFonts w:hint="eastAsia" w:ascii="Times New Roman" w:hAnsi="Times New Roman" w:eastAsia="宋体" w:cs="Times New Roman"/>
                      <w:b/>
                      <w:bCs/>
                      <w:color w:val="auto"/>
                      <w:kern w:val="0"/>
                      <w:sz w:val="21"/>
                      <w:szCs w:val="21"/>
                      <w:lang w:val="en-US" w:eastAsia="zh-CN" w:bidi="ar-SA"/>
                    </w:rPr>
                    <w:t>贡献</w:t>
                  </w:r>
                  <w:r>
                    <w:rPr>
                      <w:rFonts w:hint="default" w:ascii="Times New Roman" w:hAnsi="Times New Roman" w:eastAsia="宋体" w:cs="Times New Roman"/>
                      <w:b/>
                      <w:bCs/>
                      <w:color w:val="auto"/>
                      <w:kern w:val="0"/>
                      <w:sz w:val="21"/>
                      <w:szCs w:val="21"/>
                      <w:lang w:val="en-US" w:eastAsia="zh-CN" w:bidi="ar-SA"/>
                    </w:rPr>
                    <w:t>值dB（A）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p>
              </w:tc>
              <w:tc>
                <w:tcPr>
                  <w:tcW w:w="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5m</w:t>
                  </w:r>
                </w:p>
              </w:tc>
              <w:tc>
                <w:tcPr>
                  <w:tcW w:w="7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10m</w:t>
                  </w:r>
                </w:p>
              </w:tc>
              <w:tc>
                <w:tcPr>
                  <w:tcW w:w="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20m</w:t>
                  </w:r>
                </w:p>
              </w:tc>
              <w:tc>
                <w:tcPr>
                  <w:tcW w:w="7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r>
                    <w:rPr>
                      <w:rFonts w:hint="eastAsia" w:ascii="Times New Roman" w:hAnsi="Times New Roman" w:eastAsia="宋体" w:cs="Times New Roman"/>
                      <w:b/>
                      <w:bCs/>
                      <w:color w:val="auto"/>
                      <w:kern w:val="0"/>
                      <w:sz w:val="21"/>
                      <w:szCs w:val="21"/>
                      <w:lang w:val="en-US" w:eastAsia="zh-CN" w:bidi="ar-SA"/>
                    </w:rPr>
                    <w:t>3</w:t>
                  </w:r>
                  <w:r>
                    <w:rPr>
                      <w:rFonts w:hint="default" w:ascii="Times New Roman" w:hAnsi="Times New Roman" w:eastAsia="宋体" w:cs="Times New Roman"/>
                      <w:b/>
                      <w:bCs/>
                      <w:color w:val="auto"/>
                      <w:kern w:val="0"/>
                      <w:sz w:val="21"/>
                      <w:szCs w:val="21"/>
                      <w:lang w:val="en-US" w:eastAsia="zh-CN" w:bidi="ar-SA"/>
                    </w:rPr>
                    <w:cr/>
                  </w:r>
                  <w:r>
                    <w:rPr>
                      <w:rFonts w:hint="default" w:ascii="Times New Roman" w:hAnsi="Times New Roman" w:eastAsia="宋体" w:cs="Times New Roman"/>
                      <w:b/>
                      <w:bCs/>
                      <w:color w:val="auto"/>
                      <w:kern w:val="0"/>
                      <w:sz w:val="21"/>
                      <w:szCs w:val="21"/>
                      <w:lang w:val="en-US" w:eastAsia="zh-CN" w:bidi="ar-SA"/>
                    </w:rPr>
                    <w:t>0m</w:t>
                  </w:r>
                </w:p>
              </w:tc>
              <w:tc>
                <w:tcPr>
                  <w:tcW w:w="7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50m</w:t>
                  </w:r>
                </w:p>
              </w:tc>
              <w:tc>
                <w:tcPr>
                  <w:tcW w:w="8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r>
                    <w:rPr>
                      <w:rFonts w:hint="eastAsia" w:ascii="Times New Roman" w:hAnsi="Times New Roman" w:eastAsia="宋体" w:cs="Times New Roman"/>
                      <w:b/>
                      <w:bCs/>
                      <w:color w:val="auto"/>
                      <w:kern w:val="0"/>
                      <w:sz w:val="21"/>
                      <w:szCs w:val="21"/>
                      <w:lang w:val="en-US" w:eastAsia="zh-CN" w:bidi="ar-SA"/>
                    </w:rPr>
                    <w:t>75</w:t>
                  </w:r>
                  <w:r>
                    <w:rPr>
                      <w:rFonts w:hint="default" w:ascii="Times New Roman" w:hAnsi="Times New Roman" w:eastAsia="宋体" w:cs="Times New Roman"/>
                      <w:b/>
                      <w:bCs/>
                      <w:color w:val="auto"/>
                      <w:kern w:val="0"/>
                      <w:sz w:val="21"/>
                      <w:szCs w:val="21"/>
                      <w:lang w:val="en-US" w:eastAsia="zh-CN" w:bidi="ar-SA"/>
                    </w:rPr>
                    <w:t>m</w:t>
                  </w:r>
                </w:p>
              </w:tc>
              <w:tc>
                <w:tcPr>
                  <w:tcW w:w="8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100m</w:t>
                  </w:r>
                </w:p>
              </w:tc>
              <w:tc>
                <w:tcPr>
                  <w:tcW w:w="9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150m</w:t>
                  </w:r>
                </w:p>
              </w:tc>
              <w:tc>
                <w:tcPr>
                  <w:tcW w:w="8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200m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液压挖掘机</w:t>
                  </w:r>
                </w:p>
              </w:tc>
              <w:tc>
                <w:tcPr>
                  <w:tcW w:w="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86</w:t>
                  </w:r>
                </w:p>
              </w:tc>
              <w:tc>
                <w:tcPr>
                  <w:tcW w:w="7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79.97</w:t>
                  </w:r>
                </w:p>
              </w:tc>
              <w:tc>
                <w:tcPr>
                  <w:tcW w:w="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73.95</w:t>
                  </w:r>
                </w:p>
              </w:tc>
              <w:tc>
                <w:tcPr>
                  <w:tcW w:w="7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60.43</w:t>
                  </w:r>
                </w:p>
              </w:tc>
              <w:tc>
                <w:tcPr>
                  <w:tcW w:w="7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56</w:t>
                  </w:r>
                </w:p>
              </w:tc>
              <w:tc>
                <w:tcPr>
                  <w:tcW w:w="8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52.47</w:t>
                  </w:r>
                </w:p>
              </w:tc>
              <w:tc>
                <w:tcPr>
                  <w:tcW w:w="8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49.98</w:t>
                  </w:r>
                </w:p>
              </w:tc>
              <w:tc>
                <w:tcPr>
                  <w:tcW w:w="9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46.46</w:t>
                  </w:r>
                </w:p>
              </w:tc>
              <w:tc>
                <w:tcPr>
                  <w:tcW w:w="8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43.95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商砼搅拌车</w:t>
                  </w:r>
                </w:p>
              </w:tc>
              <w:tc>
                <w:tcPr>
                  <w:tcW w:w="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86</w:t>
                  </w:r>
                </w:p>
              </w:tc>
              <w:tc>
                <w:tcPr>
                  <w:tcW w:w="7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79.97</w:t>
                  </w:r>
                </w:p>
              </w:tc>
              <w:tc>
                <w:tcPr>
                  <w:tcW w:w="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73.95</w:t>
                  </w:r>
                </w:p>
              </w:tc>
              <w:tc>
                <w:tcPr>
                  <w:tcW w:w="7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60.43</w:t>
                  </w:r>
                </w:p>
              </w:tc>
              <w:tc>
                <w:tcPr>
                  <w:tcW w:w="7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56</w:t>
                  </w:r>
                </w:p>
              </w:tc>
              <w:tc>
                <w:tcPr>
                  <w:tcW w:w="8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52.47</w:t>
                  </w:r>
                </w:p>
              </w:tc>
              <w:tc>
                <w:tcPr>
                  <w:tcW w:w="8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49.98</w:t>
                  </w:r>
                </w:p>
              </w:tc>
              <w:tc>
                <w:tcPr>
                  <w:tcW w:w="9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46.46</w:t>
                  </w:r>
                </w:p>
              </w:tc>
              <w:tc>
                <w:tcPr>
                  <w:tcW w:w="8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43.95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重型运输车</w:t>
                  </w:r>
                </w:p>
              </w:tc>
              <w:tc>
                <w:tcPr>
                  <w:tcW w:w="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86</w:t>
                  </w:r>
                </w:p>
              </w:tc>
              <w:tc>
                <w:tcPr>
                  <w:tcW w:w="7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79.97</w:t>
                  </w:r>
                </w:p>
              </w:tc>
              <w:tc>
                <w:tcPr>
                  <w:tcW w:w="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73.95</w:t>
                  </w:r>
                </w:p>
              </w:tc>
              <w:tc>
                <w:tcPr>
                  <w:tcW w:w="7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60.43</w:t>
                  </w:r>
                </w:p>
              </w:tc>
              <w:tc>
                <w:tcPr>
                  <w:tcW w:w="7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56</w:t>
                  </w:r>
                </w:p>
              </w:tc>
              <w:tc>
                <w:tcPr>
                  <w:tcW w:w="8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52.47</w:t>
                  </w:r>
                </w:p>
              </w:tc>
              <w:tc>
                <w:tcPr>
                  <w:tcW w:w="8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49.98</w:t>
                  </w:r>
                </w:p>
              </w:tc>
              <w:tc>
                <w:tcPr>
                  <w:tcW w:w="9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46.46</w:t>
                  </w:r>
                </w:p>
              </w:tc>
              <w:tc>
                <w:tcPr>
                  <w:tcW w:w="8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43.95</w:t>
                  </w:r>
                </w:p>
              </w:tc>
            </w:tr>
          </w:tbl>
          <w:p>
            <w:pPr>
              <w:adjustRightInd w:val="0"/>
              <w:spacing w:line="360" w:lineRule="auto"/>
              <w:ind w:firstLine="480" w:firstLineChars="200"/>
              <w:rPr>
                <w:rFonts w:hint="eastAsia" w:eastAsia="仿宋_GB2312"/>
                <w:b/>
                <w:bCs/>
                <w:color w:val="auto"/>
                <w:spacing w:val="0"/>
                <w:sz w:val="24"/>
                <w:highlight w:val="yellow"/>
                <w:lang w:val="en-US" w:eastAsia="zh-CN"/>
              </w:rPr>
            </w:pPr>
            <w:r>
              <w:rPr>
                <w:rFonts w:hint="default" w:ascii="Times New Roman" w:hAnsi="Times New Roman" w:eastAsia="仿宋_GB2312" w:cs="Times New Roman"/>
                <w:color w:val="auto"/>
                <w:kern w:val="24"/>
                <w:sz w:val="24"/>
                <w:szCs w:val="24"/>
                <w:lang w:val="en-US" w:eastAsia="zh-CN" w:bidi="ar-SA"/>
              </w:rPr>
              <w:t>根据计算，本项目施工机械距离声源</w:t>
            </w:r>
            <w:r>
              <w:rPr>
                <w:rFonts w:hint="eastAsia" w:eastAsia="仿宋_GB2312" w:cs="Times New Roman"/>
                <w:color w:val="auto"/>
                <w:kern w:val="24"/>
                <w:sz w:val="24"/>
                <w:szCs w:val="24"/>
                <w:lang w:val="en-US" w:eastAsia="zh-CN" w:bidi="ar-SA"/>
              </w:rPr>
              <w:t>3</w:t>
            </w:r>
            <w:r>
              <w:rPr>
                <w:rFonts w:hint="default" w:ascii="Times New Roman" w:hAnsi="Times New Roman" w:eastAsia="仿宋_GB2312" w:cs="Times New Roman"/>
                <w:color w:val="auto"/>
                <w:kern w:val="24"/>
                <w:sz w:val="24"/>
                <w:szCs w:val="24"/>
                <w:lang w:val="en-US" w:eastAsia="zh-CN" w:bidi="ar-SA"/>
              </w:rPr>
              <w:t>0m之外噪声级均可衰减至70dB（A）以下，</w:t>
            </w:r>
            <w:r>
              <w:rPr>
                <w:rFonts w:hint="eastAsia" w:ascii="Times New Roman" w:hAnsi="Times New Roman" w:eastAsia="仿宋_GB2312" w:cs="Times New Roman"/>
                <w:color w:val="auto"/>
                <w:kern w:val="24"/>
                <w:sz w:val="24"/>
                <w:szCs w:val="24"/>
                <w:lang w:val="en-US" w:eastAsia="zh-CN" w:bidi="ar-SA"/>
              </w:rPr>
              <w:t>满足</w:t>
            </w:r>
            <w:r>
              <w:rPr>
                <w:rFonts w:hint="default" w:ascii="Times New Roman" w:hAnsi="Times New Roman" w:eastAsia="仿宋_GB2312" w:cs="Times New Roman"/>
                <w:color w:val="auto"/>
                <w:kern w:val="24"/>
                <w:sz w:val="24"/>
                <w:szCs w:val="24"/>
                <w:lang w:val="en-US" w:eastAsia="zh-CN" w:bidi="ar-SA"/>
              </w:rPr>
              <w:t>《建筑施工噪声排放标准》（GB12523-20</w:t>
            </w:r>
            <w:r>
              <w:rPr>
                <w:rFonts w:hint="eastAsia" w:eastAsia="仿宋_GB2312" w:cs="Times New Roman"/>
                <w:color w:val="auto"/>
                <w:kern w:val="24"/>
                <w:sz w:val="24"/>
                <w:szCs w:val="24"/>
                <w:lang w:val="en-US" w:eastAsia="zh-CN" w:bidi="ar-SA"/>
              </w:rPr>
              <w:t>25</w:t>
            </w:r>
            <w:r>
              <w:rPr>
                <w:rFonts w:hint="default" w:ascii="Times New Roman" w:hAnsi="Times New Roman" w:eastAsia="仿宋_GB2312" w:cs="Times New Roman"/>
                <w:color w:val="auto"/>
                <w:kern w:val="24"/>
                <w:sz w:val="24"/>
                <w:szCs w:val="24"/>
                <w:lang w:val="en-US" w:eastAsia="zh-CN" w:bidi="ar-SA"/>
              </w:rPr>
              <w:t>）标准限值</w:t>
            </w:r>
            <w:r>
              <w:rPr>
                <w:rFonts w:hint="eastAsia" w:ascii="Times New Roman" w:hAnsi="Times New Roman" w:eastAsia="仿宋_GB2312" w:cs="Times New Roman"/>
                <w:color w:val="auto"/>
                <w:kern w:val="24"/>
                <w:sz w:val="24"/>
                <w:szCs w:val="24"/>
                <w:lang w:val="en-US" w:eastAsia="zh-CN" w:bidi="ar-SA"/>
              </w:rPr>
              <w:t>70</w:t>
            </w:r>
            <w:r>
              <w:rPr>
                <w:rFonts w:hint="default" w:ascii="Times New Roman" w:hAnsi="Times New Roman" w:eastAsia="仿宋_GB2312" w:cs="Times New Roman"/>
                <w:color w:val="auto"/>
                <w:kern w:val="24"/>
                <w:sz w:val="24"/>
                <w:szCs w:val="24"/>
                <w:lang w:val="en-US" w:eastAsia="zh-CN" w:bidi="ar-SA"/>
              </w:rPr>
              <w:t>dB（A）</w:t>
            </w:r>
            <w:r>
              <w:rPr>
                <w:rFonts w:hint="eastAsia" w:ascii="Times New Roman" w:hAnsi="Times New Roman" w:eastAsia="仿宋_GB2312" w:cs="Times New Roman"/>
                <w:color w:val="auto"/>
                <w:kern w:val="24"/>
                <w:sz w:val="24"/>
                <w:szCs w:val="24"/>
                <w:lang w:val="en-US" w:eastAsia="zh-CN" w:bidi="ar-SA"/>
              </w:rPr>
              <w:t>；</w:t>
            </w:r>
            <w:r>
              <w:rPr>
                <w:rFonts w:hint="eastAsia" w:eastAsia="仿宋_GB2312" w:cs="Times New Roman"/>
                <w:color w:val="auto"/>
                <w:kern w:val="24"/>
                <w:sz w:val="24"/>
                <w:szCs w:val="24"/>
                <w:lang w:val="en-US" w:eastAsia="zh-CN" w:bidi="ar-SA"/>
              </w:rPr>
              <w:t>本项目周边200m无声环境保护目标</w:t>
            </w:r>
            <w:r>
              <w:rPr>
                <w:rFonts w:hint="eastAsia" w:ascii="Times New Roman" w:hAnsi="Times New Roman" w:eastAsia="仿宋_GB2312" w:cs="Times New Roman"/>
                <w:color w:val="auto"/>
                <w:kern w:val="24"/>
                <w:sz w:val="24"/>
                <w:szCs w:val="24"/>
                <w:lang w:val="en-US" w:eastAsia="zh-CN" w:bidi="ar-SA"/>
              </w:rPr>
              <w:t>；根据企业核实，项目夜间不施工，不存在同时2台及以上设备共同作业情况，</w:t>
            </w:r>
            <w:r>
              <w:rPr>
                <w:rFonts w:hint="default" w:ascii="Times New Roman" w:hAnsi="Times New Roman" w:eastAsia="仿宋_GB2312" w:cs="Times New Roman"/>
                <w:color w:val="auto"/>
                <w:kern w:val="24"/>
                <w:sz w:val="24"/>
                <w:szCs w:val="24"/>
                <w:lang w:val="en-US" w:eastAsia="zh-CN" w:bidi="ar-SA"/>
              </w:rPr>
              <w:t>且本项目各施工点施工量小，施工时间短，在施工过程中严格控制施工作业时间，加强施工机械维护和保养，使其保持良好的状态可有效减缓项目施工对声环境的影响。</w:t>
            </w:r>
          </w:p>
          <w:p>
            <w:pPr>
              <w:adjustRightInd w:val="0"/>
              <w:spacing w:line="360" w:lineRule="auto"/>
              <w:rPr>
                <w:rFonts w:hint="eastAsia" w:ascii="Times New Roman" w:hAnsi="Times New Roman" w:eastAsia="仿宋_GB2312" w:cs="Times New Roman"/>
                <w:b/>
                <w:bCs/>
                <w:color w:val="auto"/>
                <w:spacing w:val="-10"/>
                <w:sz w:val="24"/>
                <w:highlight w:val="none"/>
                <w:lang w:eastAsia="zh-CN"/>
              </w:rPr>
            </w:pPr>
            <w:r>
              <w:rPr>
                <w:rFonts w:hint="default" w:ascii="Times New Roman" w:hAnsi="Times New Roman" w:eastAsia="仿宋_GB2312" w:cs="Times New Roman"/>
                <w:b/>
                <w:bCs/>
                <w:color w:val="auto"/>
                <w:spacing w:val="-10"/>
                <w:sz w:val="24"/>
                <w:highlight w:val="none"/>
                <w:lang w:val="en-US" w:eastAsia="zh-CN"/>
              </w:rPr>
              <w:t>5</w:t>
            </w:r>
            <w:r>
              <w:rPr>
                <w:rFonts w:hint="default" w:ascii="Times New Roman" w:hAnsi="Times New Roman" w:eastAsia="仿宋_GB2312" w:cs="Times New Roman"/>
                <w:b/>
                <w:bCs/>
                <w:color w:val="auto"/>
                <w:spacing w:val="-10"/>
                <w:sz w:val="24"/>
                <w:highlight w:val="none"/>
              </w:rPr>
              <w:t>、固体废物</w:t>
            </w:r>
            <w:r>
              <w:rPr>
                <w:rFonts w:hint="eastAsia" w:eastAsia="仿宋_GB2312" w:cs="Times New Roman"/>
                <w:b/>
                <w:bCs/>
                <w:color w:val="auto"/>
                <w:spacing w:val="-10"/>
                <w:sz w:val="24"/>
                <w:highlight w:val="none"/>
                <w:lang w:eastAsia="zh-CN"/>
              </w:rPr>
              <w:t>环境影响分析</w:t>
            </w: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仿宋_GB2312" w:cs="Times New Roman"/>
                <w:color w:val="auto"/>
                <w:spacing w:val="0"/>
                <w:kern w:val="2"/>
                <w:sz w:val="24"/>
                <w:szCs w:val="24"/>
                <w:highlight w:val="none"/>
                <w:lang w:val="en-US" w:eastAsia="zh-CN" w:bidi="ar-SA"/>
              </w:rPr>
            </w:pPr>
            <w:r>
              <w:rPr>
                <w:rFonts w:hint="default" w:ascii="Times New Roman" w:hAnsi="Times New Roman" w:eastAsia="仿宋_GB2312" w:cs="Times New Roman"/>
                <w:color w:val="auto"/>
                <w:spacing w:val="0"/>
                <w:kern w:val="2"/>
                <w:sz w:val="24"/>
                <w:szCs w:val="24"/>
                <w:highlight w:val="none"/>
                <w:lang w:val="en-US" w:eastAsia="zh-CN" w:bidi="ar-SA"/>
              </w:rPr>
              <w:t>本项目施工期固体废物主要为废包装材料和施工人员生活垃圾</w:t>
            </w:r>
            <w:r>
              <w:rPr>
                <w:rFonts w:hint="eastAsia" w:ascii="Times New Roman" w:hAnsi="Times New Roman" w:eastAsia="仿宋_GB2312" w:cs="Times New Roman"/>
                <w:color w:val="auto"/>
                <w:spacing w:val="0"/>
                <w:kern w:val="2"/>
                <w:sz w:val="24"/>
                <w:szCs w:val="24"/>
                <w:highlight w:val="none"/>
                <w:lang w:val="en-US" w:eastAsia="zh-CN" w:bidi="ar-SA"/>
              </w:rPr>
              <w:t>。</w:t>
            </w: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生活垃圾集中收集后交由环卫部门处置。废包装材料集中收集后外售处置。</w:t>
            </w: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采取以上的处理措施后，项目施工期产生的固废不会对周边环境产生明显不利影响。</w:t>
            </w:r>
          </w:p>
          <w:p>
            <w:pPr>
              <w:adjustRightInd w:val="0"/>
              <w:spacing w:line="360" w:lineRule="auto"/>
              <w:rPr>
                <w:rFonts w:hint="default" w:ascii="Times New Roman" w:hAnsi="Times New Roman" w:eastAsia="仿宋_GB2312" w:cs="Times New Roman"/>
                <w:b/>
                <w:bCs/>
                <w:color w:val="auto"/>
                <w:spacing w:val="-10"/>
                <w:sz w:val="24"/>
                <w:highlight w:val="none"/>
                <w:lang w:val="en-US" w:eastAsia="zh-CN"/>
              </w:rPr>
            </w:pPr>
            <w:r>
              <w:rPr>
                <w:rFonts w:hint="default" w:ascii="Times New Roman" w:hAnsi="Times New Roman" w:eastAsia="仿宋_GB2312" w:cs="Times New Roman"/>
                <w:b/>
                <w:bCs/>
                <w:color w:val="auto"/>
                <w:spacing w:val="-10"/>
                <w:sz w:val="24"/>
                <w:highlight w:val="none"/>
                <w:lang w:val="en-US" w:eastAsia="zh-CN"/>
              </w:rPr>
              <w:t>6.施工期生态环境保护影响分析</w:t>
            </w: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本项目施工期对生态环境的影响主要是</w:t>
            </w:r>
            <w:r>
              <w:rPr>
                <w:rFonts w:hint="eastAsia" w:ascii="Times New Roman" w:hAnsi="Times New Roman" w:eastAsia="仿宋_GB2312" w:cs="Times New Roman"/>
                <w:color w:val="auto"/>
                <w:kern w:val="2"/>
                <w:sz w:val="24"/>
                <w:szCs w:val="24"/>
                <w:highlight w:val="none"/>
                <w:lang w:val="en-US" w:eastAsia="zh-CN" w:bidi="ar-SA"/>
              </w:rPr>
              <w:t>大棚建设、</w:t>
            </w:r>
            <w:r>
              <w:rPr>
                <w:rFonts w:hint="default" w:ascii="Times New Roman" w:hAnsi="Times New Roman" w:eastAsia="仿宋_GB2312" w:cs="Times New Roman"/>
                <w:color w:val="auto"/>
                <w:kern w:val="2"/>
                <w:sz w:val="24"/>
                <w:szCs w:val="24"/>
                <w:highlight w:val="none"/>
                <w:lang w:val="en-US" w:eastAsia="zh-CN" w:bidi="ar-SA"/>
              </w:rPr>
              <w:t>滴灌敷设、蓄水池建设对生态环境的影响。施工区域主要生态保护目标为项目沿线的土壤、自然植被和动植物等。项目施工期生态环境保护影响分析详见生态影响评价专题，此处概要介绍相关内容。</w:t>
            </w: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施工作业对生态环境的影响</w:t>
            </w:r>
            <w:r>
              <w:rPr>
                <w:rFonts w:hint="eastAsia" w:ascii="Times New Roman" w:hAnsi="Times New Roman" w:eastAsia="仿宋_GB2312" w:cs="Times New Roman"/>
                <w:color w:val="auto"/>
                <w:kern w:val="2"/>
                <w:sz w:val="24"/>
                <w:szCs w:val="24"/>
                <w:highlight w:val="none"/>
                <w:lang w:val="en-US" w:eastAsia="zh-CN" w:bidi="ar-SA"/>
              </w:rPr>
              <w:t>:</w:t>
            </w: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本项目施工过程中将进行土方的填挖，对区域生态环境的影响主要表现为土壤扰动、地表植被破坏，以及可能造成的水土流失；施工噪声对当地野生动物栖息环境的影响等。</w:t>
            </w: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 xml:space="preserve">（1）对植被的影响分析 </w:t>
            </w: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项目建设期施工过程中机械碾压、施工人员践踏等破坏施工区域内的植被，项目区域无保护植物，分布的植被为广布种。此外，本项目实施过程即为树苗种植、灌木种植、道地药材种植，能够通过采取有效的植被种植抚育措施，恢复项目区域地表植被。项目建设不会对物种多样性构成影响。</w:t>
            </w: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 xml:space="preserve">（2）对野生动物的影响分析 </w:t>
            </w: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项目施工期施工人员的活动和机械噪声等将会对施工区及周围一定范围内野生动物的活动产生一定影响，施工过程中采取合理安排工期，严禁夜间施工，加强对施工人员的环保教育，宣传生物多样性与人类生存和发展关系的重要性，提高施工人员的环保意识，以减少对动物的负面影响。</w:t>
            </w: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 xml:space="preserve">（3）对水土流失的影响分析 </w:t>
            </w: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本项目建设过程水土流失主要表现在前期的场地平整、土地整治、种植土层回填及树苗种植过程造成的土壤扰动所产生的水土流失。为了减少水土流失，项目实施过程，应采取严格、有效的水土保持措施。为有效防止水土流失，建议采取以下防治措施：加强施工管理，做到随挖、随整、随填、及时压实，文明施工，并及时实施相应水土保持措施，尽量减少施工过程中人为因素造成的水土流失。严格控制施工作业时间，避免在雨季开展大规模土石方开挖工作，减缓施工场地水土流失；施工期产生的土石方及时转运至</w:t>
            </w:r>
            <w:r>
              <w:rPr>
                <w:rFonts w:hint="eastAsia" w:ascii="Times New Roman" w:hAnsi="Times New Roman" w:eastAsia="仿宋_GB2312" w:cs="Times New Roman"/>
                <w:color w:val="auto"/>
                <w:kern w:val="2"/>
                <w:sz w:val="24"/>
                <w:szCs w:val="24"/>
                <w:highlight w:val="none"/>
                <w:lang w:val="en-US" w:eastAsia="zh-CN" w:bidi="ar-SA"/>
              </w:rPr>
              <w:t>指定</w:t>
            </w:r>
            <w:r>
              <w:rPr>
                <w:rFonts w:hint="default" w:ascii="Times New Roman" w:hAnsi="Times New Roman" w:eastAsia="仿宋_GB2312" w:cs="Times New Roman"/>
                <w:color w:val="auto"/>
                <w:kern w:val="2"/>
                <w:sz w:val="24"/>
                <w:szCs w:val="24"/>
                <w:highlight w:val="none"/>
                <w:lang w:val="en-US" w:eastAsia="zh-CN" w:bidi="ar-SA"/>
              </w:rPr>
              <w:t>地点堆放；土方施工结束后及时开展苗木种植和绿化，做好植被恢复。</w:t>
            </w: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 xml:space="preserve">（4）对土地利用性质的影响分析 </w:t>
            </w: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本项目建设将征占当地一定数量的土地，场址占地类型为绿化用地，未侵占耕地等农业用地，本项目施工临时占地主要用于挖掘土的堆积等，施工临时占地控制在场区范围内。施工结束后，对临时占用的土地，进行树苗种植、灌木种植、道地药材种植，施工期对区域土地利用性质的影响较小。</w:t>
            </w: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 xml:space="preserve">（5）对土壤的影响分析 </w:t>
            </w: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施工过程中的机械碾压、人员践踏等活动也会对土壤结构产生不良影响，主要表现为影响土壤紧实度和土壤理化性质。</w:t>
            </w: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p>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2583" w:hRule="atLeast"/>
          <w:jc w:val="center"/>
        </w:trPr>
        <w:tc>
          <w:tcPr>
            <w:tcW w:w="679" w:type="dxa"/>
            <w:tcBorders>
              <w:tl2br w:val="nil"/>
              <w:tr2bl w:val="nil"/>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仿宋_GB2312" w:cs="Times New Roman"/>
                <w:b/>
                <w:bCs/>
                <w:color w:val="auto"/>
                <w:kern w:val="2"/>
                <w:sz w:val="24"/>
                <w:szCs w:val="24"/>
                <w:highlight w:val="none"/>
                <w:lang w:val="en-US" w:eastAsia="zh-CN" w:bidi="ar-SA"/>
              </w:rPr>
            </w:pPr>
            <w:r>
              <w:rPr>
                <w:rFonts w:hint="default" w:ascii="Times New Roman" w:hAnsi="Times New Roman" w:eastAsia="仿宋_GB2312" w:cs="Times New Roman"/>
                <w:b/>
                <w:bCs/>
                <w:color w:val="auto"/>
                <w:kern w:val="2"/>
                <w:sz w:val="24"/>
                <w:szCs w:val="24"/>
                <w:highlight w:val="none"/>
                <w:lang w:val="en-US" w:eastAsia="zh-CN" w:bidi="ar-SA"/>
              </w:rPr>
              <w:t>运营期生态环境影响分析</w:t>
            </w:r>
          </w:p>
          <w:p>
            <w:pPr>
              <w:pStyle w:val="42"/>
              <w:rPr>
                <w:rFonts w:hint="default" w:ascii="Times New Roman" w:hAnsi="Times New Roman" w:eastAsia="仿宋_GB2312" w:cs="Times New Roman"/>
                <w:b/>
                <w:bCs/>
                <w:color w:val="auto"/>
                <w:kern w:val="2"/>
                <w:sz w:val="24"/>
                <w:szCs w:val="24"/>
                <w:highlight w:val="none"/>
                <w:lang w:val="en-US" w:eastAsia="zh-CN" w:bidi="ar-SA"/>
              </w:rPr>
            </w:pPr>
          </w:p>
          <w:p>
            <w:pPr>
              <w:rPr>
                <w:rFonts w:hint="default" w:ascii="Times New Roman" w:hAnsi="Times New Roman" w:eastAsia="仿宋_GB2312" w:cs="Times New Roman"/>
                <w:b/>
                <w:bCs/>
                <w:color w:val="auto"/>
                <w:kern w:val="2"/>
                <w:sz w:val="24"/>
                <w:szCs w:val="24"/>
                <w:highlight w:val="none"/>
                <w:lang w:val="en-US" w:eastAsia="zh-CN" w:bidi="ar-SA"/>
              </w:rPr>
            </w:pPr>
          </w:p>
          <w:p>
            <w:pPr>
              <w:rPr>
                <w:rFonts w:hint="default" w:ascii="Times New Roman" w:hAnsi="Times New Roman" w:eastAsia="仿宋_GB2312" w:cs="Times New Roman"/>
                <w:b/>
                <w:bCs/>
                <w:color w:val="auto"/>
                <w:kern w:val="2"/>
                <w:sz w:val="24"/>
                <w:szCs w:val="24"/>
                <w:highlight w:val="none"/>
                <w:lang w:val="en-US" w:eastAsia="zh-CN" w:bidi="ar-SA"/>
              </w:rPr>
            </w:pPr>
          </w:p>
          <w:p>
            <w:pPr>
              <w:rPr>
                <w:rFonts w:hint="default" w:ascii="Times New Roman" w:hAnsi="Times New Roman" w:eastAsia="仿宋_GB2312" w:cs="Times New Roman"/>
                <w:b/>
                <w:bCs/>
                <w:color w:val="auto"/>
                <w:kern w:val="2"/>
                <w:sz w:val="24"/>
                <w:szCs w:val="24"/>
                <w:highlight w:val="none"/>
                <w:lang w:val="en-US" w:eastAsia="zh-CN" w:bidi="ar-SA"/>
              </w:rPr>
            </w:pPr>
          </w:p>
          <w:p>
            <w:pPr>
              <w:rPr>
                <w:rFonts w:hint="default" w:ascii="Times New Roman" w:hAnsi="Times New Roman" w:eastAsia="仿宋_GB2312" w:cs="Times New Roman"/>
                <w:b/>
                <w:bCs/>
                <w:color w:val="auto"/>
                <w:kern w:val="2"/>
                <w:sz w:val="24"/>
                <w:szCs w:val="24"/>
                <w:highlight w:val="none"/>
                <w:lang w:val="en-US" w:eastAsia="zh-CN" w:bidi="ar-SA"/>
              </w:rPr>
            </w:pPr>
          </w:p>
          <w:p>
            <w:pPr>
              <w:rPr>
                <w:rFonts w:hint="default" w:ascii="Times New Roman" w:hAnsi="Times New Roman" w:eastAsia="仿宋_GB2312" w:cs="Times New Roman"/>
                <w:b/>
                <w:bCs/>
                <w:color w:val="auto"/>
                <w:kern w:val="2"/>
                <w:sz w:val="24"/>
                <w:szCs w:val="24"/>
                <w:highlight w:val="none"/>
                <w:lang w:val="en-US" w:eastAsia="zh-CN" w:bidi="ar-SA"/>
              </w:rPr>
            </w:pPr>
          </w:p>
          <w:p>
            <w:pPr>
              <w:rPr>
                <w:rFonts w:hint="default" w:ascii="Times New Roman" w:hAnsi="Times New Roman" w:eastAsia="仿宋_GB2312" w:cs="Times New Roman"/>
                <w:b/>
                <w:bCs/>
                <w:color w:val="auto"/>
                <w:kern w:val="2"/>
                <w:sz w:val="24"/>
                <w:szCs w:val="24"/>
                <w:highlight w:val="none"/>
                <w:lang w:val="en-US" w:eastAsia="zh-CN" w:bidi="ar-SA"/>
              </w:rPr>
            </w:pPr>
          </w:p>
          <w:p>
            <w:pPr>
              <w:rPr>
                <w:rFonts w:hint="default" w:ascii="Times New Roman" w:hAnsi="Times New Roman" w:eastAsia="仿宋_GB2312" w:cs="Times New Roman"/>
                <w:b/>
                <w:bCs/>
                <w:color w:val="auto"/>
                <w:kern w:val="2"/>
                <w:sz w:val="24"/>
                <w:szCs w:val="24"/>
                <w:highlight w:val="none"/>
                <w:lang w:val="en-US" w:eastAsia="zh-CN" w:bidi="ar-SA"/>
              </w:rPr>
            </w:pPr>
          </w:p>
          <w:p>
            <w:pPr>
              <w:rPr>
                <w:rFonts w:hint="default" w:ascii="Times New Roman" w:hAnsi="Times New Roman" w:eastAsia="仿宋_GB2312" w:cs="Times New Roman"/>
                <w:b/>
                <w:bCs/>
                <w:color w:val="auto"/>
                <w:kern w:val="2"/>
                <w:sz w:val="24"/>
                <w:szCs w:val="24"/>
                <w:highlight w:val="none"/>
                <w:lang w:val="en-US" w:eastAsia="zh-CN" w:bidi="ar-SA"/>
              </w:rPr>
            </w:pPr>
          </w:p>
          <w:p>
            <w:pPr>
              <w:rPr>
                <w:rFonts w:hint="default" w:ascii="Times New Roman" w:hAnsi="Times New Roman" w:eastAsia="仿宋_GB2312" w:cs="Times New Roman"/>
                <w:b/>
                <w:bCs/>
                <w:color w:val="auto"/>
                <w:kern w:val="2"/>
                <w:sz w:val="24"/>
                <w:szCs w:val="24"/>
                <w:highlight w:val="none"/>
                <w:lang w:val="en-US" w:eastAsia="zh-CN" w:bidi="ar-SA"/>
              </w:rPr>
            </w:pPr>
          </w:p>
          <w:p>
            <w:pPr>
              <w:rPr>
                <w:rFonts w:hint="default"/>
                <w:color w:val="auto"/>
                <w:highlight w:val="none"/>
                <w:lang w:eastAsia="zh-CN"/>
              </w:rPr>
            </w:pPr>
          </w:p>
        </w:tc>
        <w:tc>
          <w:tcPr>
            <w:tcW w:w="8522" w:type="dxa"/>
            <w:tcBorders>
              <w:tl2br w:val="nil"/>
              <w:tr2bl w:val="nil"/>
            </w:tcBorders>
            <w:vAlign w:val="top"/>
          </w:tcPr>
          <w:p>
            <w:pPr>
              <w:pStyle w:val="90"/>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本项目运营期主要工艺流程及产污环节如下：</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仿宋_GB2312" w:cs="Times New Roman"/>
                <w:b/>
                <w:bCs/>
                <w:snapToGrid w:val="0"/>
                <w:color w:val="auto"/>
                <w:kern w:val="24"/>
                <w:sz w:val="24"/>
                <w:szCs w:val="24"/>
                <w:lang w:val="en-US" w:eastAsia="zh-CN" w:bidi="ar-SA"/>
              </w:rPr>
            </w:pPr>
            <w:r>
              <w:rPr>
                <w:rFonts w:hint="default" w:ascii="Times New Roman" w:hAnsi="Times New Roman" w:eastAsia="仿宋_GB2312" w:cs="Times New Roman"/>
                <w:b/>
                <w:bCs/>
                <w:snapToGrid w:val="0"/>
                <w:color w:val="auto"/>
                <w:kern w:val="24"/>
                <w:sz w:val="24"/>
                <w:szCs w:val="24"/>
                <w:lang w:val="en-US" w:eastAsia="zh-CN" w:bidi="ar-SA"/>
              </w:rPr>
              <w:object>
                <v:shape id="_x0000_i1027" o:spt="75" type="#_x0000_t75" style="height:80.55pt;width:414.9pt;" o:ole="t" filled="f" o:preferrelative="t" stroked="f" coordsize="21600,21600">
                  <v:path/>
                  <v:fill on="f" focussize="0,0"/>
                  <v:stroke on="f"/>
                  <v:imagedata r:id="rId23" o:title=""/>
                  <o:lock v:ext="edit" aspectratio="f"/>
                  <w10:wrap type="none"/>
                  <w10:anchorlock/>
                </v:shape>
                <o:OLEObject Type="Embed" ProgID="Visio.Drawing.15" ShapeID="_x0000_i1027" DrawAspect="Content" ObjectID="_1468075727" r:id="rId22">
                  <o:LockedField>false</o:LockedField>
                </o:OLEObject>
              </w:object>
            </w:r>
          </w:p>
          <w:p>
            <w:pPr>
              <w:keepNext w:val="0"/>
              <w:keepLines w:val="0"/>
              <w:pageBreakBefore w:val="0"/>
              <w:widowControl w:val="0"/>
              <w:kinsoku/>
              <w:wordWrap/>
              <w:overflowPunct/>
              <w:topLinePunct w:val="0"/>
              <w:autoSpaceDE/>
              <w:autoSpaceDN/>
              <w:bidi w:val="0"/>
              <w:adjustRightInd w:val="0"/>
              <w:snapToGrid w:val="0"/>
              <w:spacing w:line="360" w:lineRule="auto"/>
              <w:ind w:firstLine="481" w:firstLineChars="200"/>
              <w:jc w:val="center"/>
              <w:textAlignment w:val="auto"/>
              <w:rPr>
                <w:rFonts w:hint="default" w:ascii="Times New Roman" w:hAnsi="Times New Roman" w:eastAsia="仿宋_GB2312" w:cs="Times New Roman"/>
                <w:b/>
                <w:bCs/>
                <w:snapToGrid w:val="0"/>
                <w:color w:val="auto"/>
                <w:kern w:val="24"/>
                <w:sz w:val="24"/>
                <w:szCs w:val="24"/>
                <w:lang w:val="en-US" w:eastAsia="zh-CN" w:bidi="ar-SA"/>
              </w:rPr>
            </w:pPr>
            <w:r>
              <w:rPr>
                <w:rFonts w:hint="default" w:ascii="Times New Roman" w:hAnsi="Times New Roman" w:eastAsia="仿宋_GB2312" w:cs="Times New Roman"/>
                <w:b/>
                <w:bCs/>
                <w:snapToGrid w:val="0"/>
                <w:color w:val="auto"/>
                <w:kern w:val="24"/>
                <w:sz w:val="24"/>
                <w:szCs w:val="24"/>
                <w:lang w:val="en-US" w:eastAsia="zh-CN" w:bidi="ar-SA"/>
              </w:rPr>
              <w:t>图</w:t>
            </w:r>
            <w:r>
              <w:rPr>
                <w:rFonts w:hint="eastAsia" w:eastAsia="仿宋_GB2312" w:cs="Times New Roman"/>
                <w:b/>
                <w:bCs/>
                <w:snapToGrid w:val="0"/>
                <w:color w:val="auto"/>
                <w:kern w:val="24"/>
                <w:sz w:val="24"/>
                <w:szCs w:val="24"/>
                <w:lang w:val="en-US" w:eastAsia="zh-CN" w:bidi="ar-SA"/>
              </w:rPr>
              <w:t>3</w:t>
            </w:r>
            <w:r>
              <w:rPr>
                <w:rFonts w:hint="default" w:ascii="Times New Roman" w:hAnsi="Times New Roman" w:eastAsia="仿宋_GB2312" w:cs="Times New Roman"/>
                <w:b/>
                <w:bCs/>
                <w:snapToGrid w:val="0"/>
                <w:color w:val="auto"/>
                <w:kern w:val="24"/>
                <w:sz w:val="24"/>
                <w:szCs w:val="24"/>
                <w:lang w:val="en-US" w:eastAsia="zh-CN" w:bidi="ar-SA"/>
              </w:rPr>
              <w:t xml:space="preserve">   </w:t>
            </w:r>
            <w:r>
              <w:rPr>
                <w:rFonts w:hint="eastAsia" w:ascii="宋体" w:hAnsi="宋体" w:eastAsia="宋体" w:cs="宋体"/>
                <w:b/>
                <w:bCs/>
                <w:snapToGrid w:val="0"/>
                <w:color w:val="auto"/>
                <w:kern w:val="24"/>
                <w:sz w:val="24"/>
                <w:szCs w:val="24"/>
                <w:lang w:val="en-US" w:eastAsia="zh-CN" w:bidi="ar-SA"/>
              </w:rPr>
              <w:t>本项目运营期生产工艺图</w:t>
            </w:r>
          </w:p>
          <w:p>
            <w:pPr>
              <w:spacing w:line="360" w:lineRule="auto"/>
              <w:ind w:firstLine="480" w:firstLineChars="200"/>
              <w:rPr>
                <w:rFonts w:hint="default"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工艺流程简述：</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(1)</w:t>
            </w:r>
            <w:r>
              <w:rPr>
                <w:rFonts w:hint="eastAsia" w:ascii="Times New Roman" w:hAnsi="Times New Roman" w:eastAsia="仿宋_GB2312" w:cs="Times New Roman"/>
                <w:color w:val="auto"/>
                <w:kern w:val="2"/>
                <w:sz w:val="24"/>
                <w:szCs w:val="24"/>
                <w:highlight w:val="none"/>
                <w:lang w:val="en-US" w:eastAsia="zh-CN" w:bidi="ar-SA"/>
              </w:rPr>
              <w:t>拌料、粉碎</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栽培基质按料水比(1:1.1〜1:1.3)拌透拌匀，堆制1h〜2h,含水量为60—65%，用手紧握料指缝间有水形成水珠而不滴为宜，pH为5.0—5.5。玉米粉、</w:t>
            </w:r>
            <w:r>
              <w:rPr>
                <w:rFonts w:hint="eastAsia" w:eastAsia="仿宋_GB2312" w:cs="Times New Roman"/>
                <w:color w:val="auto"/>
                <w:kern w:val="2"/>
                <w:sz w:val="24"/>
                <w:szCs w:val="24"/>
                <w:highlight w:val="none"/>
                <w:lang w:val="en-US" w:eastAsia="zh-CN" w:bidi="ar-SA"/>
              </w:rPr>
              <w:t>麦皮、木屑</w:t>
            </w:r>
            <w:r>
              <w:rPr>
                <w:rFonts w:hint="eastAsia" w:ascii="Times New Roman" w:hAnsi="Times New Roman" w:eastAsia="仿宋_GB2312" w:cs="Times New Roman"/>
                <w:color w:val="auto"/>
                <w:kern w:val="2"/>
                <w:sz w:val="24"/>
                <w:szCs w:val="24"/>
                <w:highlight w:val="none"/>
                <w:lang w:val="en-US" w:eastAsia="zh-CN" w:bidi="ar-SA"/>
              </w:rPr>
              <w:t>、石膏粉等粉料在拆包过程中会产生少量粉尘，由于拆包过程时间很短，产生量极少，逸散范围主要在车间内，无组织排放，长棒流水线由拌料机组和粉碎机组组成，先拌料、后粉碎，由于含水率较高，拌料、粉碎过程不</w:t>
            </w:r>
            <w:r>
              <w:rPr>
                <w:rFonts w:hint="eastAsia" w:eastAsia="仿宋_GB2312" w:cs="Times New Roman"/>
                <w:color w:val="auto"/>
                <w:kern w:val="2"/>
                <w:sz w:val="24"/>
                <w:szCs w:val="24"/>
                <w:highlight w:val="none"/>
                <w:lang w:val="en-US" w:eastAsia="zh-CN" w:bidi="ar-SA"/>
              </w:rPr>
              <w:t>产生</w:t>
            </w:r>
            <w:r>
              <w:rPr>
                <w:rFonts w:hint="eastAsia" w:ascii="Times New Roman" w:hAnsi="Times New Roman" w:eastAsia="仿宋_GB2312" w:cs="Times New Roman"/>
                <w:color w:val="auto"/>
                <w:kern w:val="2"/>
                <w:sz w:val="24"/>
                <w:szCs w:val="24"/>
                <w:highlight w:val="none"/>
                <w:lang w:val="en-US" w:eastAsia="zh-CN" w:bidi="ar-SA"/>
              </w:rPr>
              <w:t>扬尘，不予定量分析。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(2)</w:t>
            </w:r>
            <w:r>
              <w:rPr>
                <w:rFonts w:hint="eastAsia" w:ascii="Times New Roman" w:hAnsi="Times New Roman" w:eastAsia="仿宋_GB2312" w:cs="Times New Roman"/>
                <w:color w:val="auto"/>
                <w:kern w:val="2"/>
                <w:sz w:val="24"/>
                <w:szCs w:val="24"/>
                <w:highlight w:val="none"/>
                <w:lang w:val="en-US" w:eastAsia="zh-CN" w:bidi="ar-SA"/>
              </w:rPr>
              <w:t>装料</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通过自动化生产线，加工出菌棒。</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(3)灭菌与接种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完成拌料、装袋并装锅灭菌，常压蒸汽灭菌始火灶温达100℃，蒸汽为空气能热泵供给。灭菌完成后，待料温降到28℃以下，在无菌条件下进行打孔，接种，封口或套袋。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(4)发菌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接种完成后，菌袋应以“＃”字形堆叠法，横竖每行3—4袋，依次重叠10层为一堆。堆与堆之间要留出通风道或走道。接种穴要朝向袋距空间，不可互相压叠。将菌袋放入26℃—28℃的培养间，4d—5d后，将室温控制在22℃—25℃，空气湿度控制在60%—70%，避光培养。接种后5d—7d 进行倒袋，之后每隔8d—10d倒袋一次，结合倒袋如发现杂菌污染及时拣出。当菌丝圈相连时，用直径0.3cm刺孔器，对每个菌穴已发菌部位刺68孔，在菌丝满袋后，第二次刺孔。</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(5)进棚育菇</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当菌袋隆起瘤状物占整个袋面 2/3，在接种穴四周有微棕褐色出现时进棚栽培，选择无风的晴天或阴天上午(12℃—25 ℃)脱袋，每隔10cm进行摆放或立筒斜靠，排满后及时盖上塑料薄膜，保湿保温。</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 xml:space="preserve">(6)出菇管理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菇蕾长到1cm左右，及时放口，菇棚湿度控制在85%-90%。菇蕾长到2cm 以上，加强通风，散射光刺激。</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(7)适时采收</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eastAsia="仿宋_GB2312" w:cs="Times New Roman"/>
                <w:color w:val="auto"/>
                <w:kern w:val="2"/>
                <w:sz w:val="24"/>
                <w:szCs w:val="24"/>
                <w:highlight w:val="none"/>
                <w:lang w:val="en-US" w:eastAsia="zh-CN" w:bidi="ar-SA"/>
              </w:rPr>
            </w:pPr>
            <w:r>
              <w:rPr>
                <w:rFonts w:hint="eastAsia" w:eastAsia="仿宋_GB2312" w:cs="Times New Roman"/>
                <w:color w:val="auto"/>
                <w:kern w:val="2"/>
                <w:sz w:val="24"/>
                <w:szCs w:val="24"/>
                <w:highlight w:val="none"/>
                <w:lang w:val="en-US" w:eastAsia="zh-CN" w:bidi="ar-SA"/>
              </w:rPr>
              <w:t>菌菇实体在菌膜已破，菌盖尚未完全展开时采收。</w:t>
            </w:r>
          </w:p>
          <w:p>
            <w:pPr>
              <w:keepNext w:val="0"/>
              <w:keepLines w:val="0"/>
              <w:pageBreakBefore/>
              <w:widowControl w:val="0"/>
              <w:kinsoku/>
              <w:wordWrap/>
              <w:overflowPunct/>
              <w:topLinePunct w:val="0"/>
              <w:autoSpaceDE/>
              <w:autoSpaceDN/>
              <w:bidi w:val="0"/>
              <w:adjustRightInd/>
              <w:snapToGrid/>
              <w:ind w:firstLine="421" w:firstLineChars="200"/>
              <w:jc w:val="both"/>
              <w:textAlignment w:val="auto"/>
              <w:rPr>
                <w:rFonts w:hint="default" w:ascii="Times New Roman" w:hAnsi="Times New Roman" w:cs="Times New Roman"/>
                <w:b/>
                <w:color w:val="auto"/>
                <w:szCs w:val="21"/>
                <w:lang w:val="zh-CN"/>
              </w:rPr>
            </w:pPr>
            <w:r>
              <w:rPr>
                <w:rFonts w:hint="default" w:ascii="Times New Roman" w:hAnsi="Times New Roman" w:cs="Times New Roman"/>
                <w:b/>
                <w:color w:val="auto"/>
                <w:szCs w:val="21"/>
                <w:lang w:val="zh-CN"/>
              </w:rPr>
              <w:t>表</w:t>
            </w:r>
            <w:r>
              <w:rPr>
                <w:rFonts w:hint="eastAsia" w:cs="Times New Roman"/>
                <w:b/>
                <w:color w:val="auto"/>
                <w:szCs w:val="21"/>
                <w:lang w:val="en-US" w:eastAsia="zh-CN"/>
              </w:rPr>
              <w:t xml:space="preserve">30      </w:t>
            </w:r>
            <w:r>
              <w:rPr>
                <w:rFonts w:hint="default" w:ascii="Times New Roman" w:hAnsi="Times New Roman" w:cs="Times New Roman"/>
                <w:b/>
                <w:color w:val="auto"/>
                <w:szCs w:val="21"/>
                <w:lang w:val="zh-CN"/>
              </w:rPr>
              <w:t>项目产污环节汇总一览表</w:t>
            </w:r>
          </w:p>
          <w:tbl>
            <w:tblPr>
              <w:tblStyle w:val="35"/>
              <w:tblW w:w="820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86"/>
              <w:gridCol w:w="742"/>
              <w:gridCol w:w="1265"/>
              <w:gridCol w:w="1425"/>
              <w:gridCol w:w="728"/>
              <w:gridCol w:w="32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6" w:type="dxa"/>
                  <w:tcBorders>
                    <w:tl2br w:val="nil"/>
                    <w:tr2bl w:val="nil"/>
                  </w:tcBorders>
                  <w:tcMar>
                    <w:left w:w="28" w:type="dxa"/>
                    <w:right w:w="28" w:type="dxa"/>
                  </w:tcMar>
                  <w:vAlign w:val="center"/>
                </w:tcPr>
                <w:p>
                  <w:pPr>
                    <w:tabs>
                      <w:tab w:val="left" w:pos="945"/>
                    </w:tabs>
                    <w:spacing w:line="320" w:lineRule="exact"/>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污染物</w:t>
                  </w:r>
                </w:p>
                <w:p>
                  <w:pPr>
                    <w:tabs>
                      <w:tab w:val="left" w:pos="945"/>
                    </w:tabs>
                    <w:spacing w:line="320" w:lineRule="exact"/>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类别</w:t>
                  </w:r>
                </w:p>
              </w:tc>
              <w:tc>
                <w:tcPr>
                  <w:tcW w:w="742" w:type="dxa"/>
                  <w:tcBorders>
                    <w:tl2br w:val="nil"/>
                    <w:tr2bl w:val="nil"/>
                  </w:tcBorders>
                  <w:tcMar>
                    <w:left w:w="28" w:type="dxa"/>
                    <w:right w:w="28" w:type="dxa"/>
                  </w:tcMar>
                  <w:vAlign w:val="center"/>
                </w:tcPr>
                <w:p>
                  <w:pPr>
                    <w:tabs>
                      <w:tab w:val="left" w:pos="945"/>
                    </w:tabs>
                    <w:snapToGrid w:val="0"/>
                    <w:jc w:val="center"/>
                    <w:rPr>
                      <w:rFonts w:hint="eastAsia" w:ascii="Times New Roman" w:hAnsi="Times New Roman" w:eastAsia="宋体" w:cs="Times New Roman"/>
                      <w:b/>
                      <w:color w:val="auto"/>
                      <w:sz w:val="21"/>
                      <w:szCs w:val="21"/>
                      <w:lang w:eastAsia="zh-CN"/>
                    </w:rPr>
                  </w:pPr>
                  <w:r>
                    <w:rPr>
                      <w:rFonts w:hint="eastAsia" w:cs="Times New Roman"/>
                      <w:b/>
                      <w:color w:val="auto"/>
                      <w:sz w:val="21"/>
                      <w:szCs w:val="21"/>
                      <w:lang w:val="en-US" w:eastAsia="zh-CN"/>
                    </w:rPr>
                    <w:t>编号</w:t>
                  </w:r>
                </w:p>
              </w:tc>
              <w:tc>
                <w:tcPr>
                  <w:tcW w:w="1265" w:type="dxa"/>
                  <w:tcBorders>
                    <w:tl2br w:val="nil"/>
                    <w:tr2bl w:val="nil"/>
                  </w:tcBorders>
                  <w:tcMar>
                    <w:left w:w="28" w:type="dxa"/>
                    <w:right w:w="28" w:type="dxa"/>
                  </w:tcMar>
                  <w:vAlign w:val="center"/>
                </w:tcPr>
                <w:p>
                  <w:pPr>
                    <w:tabs>
                      <w:tab w:val="left" w:pos="945"/>
                    </w:tabs>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产生工序</w:t>
                  </w:r>
                </w:p>
              </w:tc>
              <w:tc>
                <w:tcPr>
                  <w:tcW w:w="1425" w:type="dxa"/>
                  <w:tcBorders>
                    <w:tl2br w:val="nil"/>
                    <w:tr2bl w:val="nil"/>
                  </w:tcBorders>
                  <w:tcMar>
                    <w:left w:w="28" w:type="dxa"/>
                    <w:right w:w="28" w:type="dxa"/>
                  </w:tcMar>
                  <w:vAlign w:val="center"/>
                </w:tcPr>
                <w:p>
                  <w:pPr>
                    <w:tabs>
                      <w:tab w:val="left" w:pos="945"/>
                    </w:tabs>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主要污染因子</w:t>
                  </w:r>
                </w:p>
              </w:tc>
              <w:tc>
                <w:tcPr>
                  <w:tcW w:w="728" w:type="dxa"/>
                  <w:tcBorders>
                    <w:tl2br w:val="nil"/>
                    <w:tr2bl w:val="nil"/>
                  </w:tcBorders>
                  <w:tcMar>
                    <w:left w:w="28" w:type="dxa"/>
                    <w:right w:w="28" w:type="dxa"/>
                  </w:tcMar>
                  <w:vAlign w:val="center"/>
                </w:tcPr>
                <w:p>
                  <w:pPr>
                    <w:tabs>
                      <w:tab w:val="left" w:pos="945"/>
                    </w:tabs>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产生特征</w:t>
                  </w:r>
                </w:p>
              </w:tc>
              <w:tc>
                <w:tcPr>
                  <w:tcW w:w="3263" w:type="dxa"/>
                  <w:tcBorders>
                    <w:tl2br w:val="nil"/>
                    <w:tr2bl w:val="nil"/>
                  </w:tcBorders>
                  <w:tcMar>
                    <w:left w:w="28" w:type="dxa"/>
                    <w:right w:w="28" w:type="dxa"/>
                  </w:tcMar>
                  <w:vAlign w:val="center"/>
                </w:tcPr>
                <w:p>
                  <w:pPr>
                    <w:tabs>
                      <w:tab w:val="left" w:pos="945"/>
                    </w:tabs>
                    <w:adjustRightIn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去向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786" w:type="dxa"/>
                  <w:vMerge w:val="restart"/>
                  <w:tcBorders>
                    <w:tl2br w:val="nil"/>
                    <w:tr2bl w:val="nil"/>
                  </w:tcBorders>
                  <w:tcMar>
                    <w:left w:w="28" w:type="dxa"/>
                    <w:right w:w="28" w:type="dxa"/>
                  </w:tcMar>
                  <w:vAlign w:val="center"/>
                </w:tcPr>
                <w:p>
                  <w:pPr>
                    <w:tabs>
                      <w:tab w:val="left" w:pos="945"/>
                    </w:tabs>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w:t>
                  </w:r>
                </w:p>
              </w:tc>
              <w:tc>
                <w:tcPr>
                  <w:tcW w:w="742" w:type="dxa"/>
                  <w:tcBorders>
                    <w:tl2br w:val="nil"/>
                    <w:tr2bl w:val="nil"/>
                  </w:tcBorders>
                  <w:tcMar>
                    <w:left w:w="28" w:type="dxa"/>
                    <w:right w:w="28" w:type="dxa"/>
                  </w:tcMar>
                  <w:vAlign w:val="center"/>
                </w:tcPr>
                <w:p>
                  <w:pPr>
                    <w:tabs>
                      <w:tab w:val="left" w:pos="945"/>
                    </w:tabs>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W1</w:t>
                  </w:r>
                </w:p>
              </w:tc>
              <w:tc>
                <w:tcPr>
                  <w:tcW w:w="1265" w:type="dxa"/>
                  <w:tcBorders>
                    <w:tl2br w:val="nil"/>
                    <w:tr2bl w:val="nil"/>
                  </w:tcBorders>
                  <w:tcMar>
                    <w:left w:w="28" w:type="dxa"/>
                    <w:right w:w="28" w:type="dxa"/>
                  </w:tcMar>
                  <w:vAlign w:val="center"/>
                </w:tcPr>
                <w:p>
                  <w:pPr>
                    <w:tabs>
                      <w:tab w:val="left" w:pos="945"/>
                    </w:tabs>
                    <w:adjustRightInd w:val="0"/>
                    <w:jc w:val="center"/>
                    <w:rPr>
                      <w:rFonts w:hint="default" w:ascii="Times New Roman" w:hAnsi="Times New Roman" w:cs="Times New Roman"/>
                      <w:color w:val="auto"/>
                      <w:kern w:val="2"/>
                      <w:sz w:val="21"/>
                      <w:szCs w:val="21"/>
                      <w:lang w:val="en-US" w:eastAsia="zh-CN" w:bidi="ar-SA"/>
                    </w:rPr>
                  </w:pPr>
                  <w:r>
                    <w:rPr>
                      <w:rFonts w:hint="eastAsia" w:cs="Times New Roman"/>
                      <w:color w:val="auto"/>
                      <w:kern w:val="2"/>
                      <w:sz w:val="21"/>
                      <w:szCs w:val="21"/>
                      <w:lang w:val="en-US" w:eastAsia="zh-CN" w:bidi="ar-SA"/>
                    </w:rPr>
                    <w:t>生活污水</w:t>
                  </w:r>
                </w:p>
              </w:tc>
              <w:tc>
                <w:tcPr>
                  <w:tcW w:w="1425" w:type="dxa"/>
                  <w:tcBorders>
                    <w:tl2br w:val="nil"/>
                    <w:tr2bl w:val="nil"/>
                  </w:tcBorders>
                  <w:tcMar>
                    <w:left w:w="28" w:type="dxa"/>
                    <w:right w:w="28" w:type="dxa"/>
                  </w:tcMar>
                  <w:vAlign w:val="center"/>
                </w:tcPr>
                <w:p>
                  <w:pPr>
                    <w:tabs>
                      <w:tab w:val="left" w:pos="945"/>
                    </w:tabs>
                    <w:adjustRightInd w:val="0"/>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pH、</w:t>
                  </w:r>
                  <w:r>
                    <w:rPr>
                      <w:rFonts w:hint="default" w:ascii="Times New Roman" w:hAnsi="Times New Roman" w:cs="Times New Roman"/>
                      <w:color w:val="auto"/>
                      <w:sz w:val="21"/>
                      <w:szCs w:val="21"/>
                    </w:rPr>
                    <w:t>COD、BOD</w:t>
                  </w:r>
                  <w:r>
                    <w:rPr>
                      <w:rFonts w:hint="default" w:ascii="Times New Roman" w:hAnsi="Times New Roman" w:cs="Times New Roman"/>
                      <w:color w:val="auto"/>
                      <w:sz w:val="21"/>
                      <w:szCs w:val="21"/>
                      <w:vertAlign w:val="subscript"/>
                    </w:rPr>
                    <w:t>5</w:t>
                  </w:r>
                  <w:r>
                    <w:rPr>
                      <w:rFonts w:hint="default" w:ascii="Times New Roman" w:hAnsi="Times New Roman" w:cs="Times New Roman"/>
                      <w:color w:val="auto"/>
                      <w:sz w:val="21"/>
                      <w:szCs w:val="21"/>
                    </w:rPr>
                    <w:t>、SS、氨氮等</w:t>
                  </w:r>
                </w:p>
              </w:tc>
              <w:tc>
                <w:tcPr>
                  <w:tcW w:w="728" w:type="dxa"/>
                  <w:tcBorders>
                    <w:tl2br w:val="nil"/>
                    <w:tr2bl w:val="nil"/>
                  </w:tcBorders>
                  <w:tcMar>
                    <w:left w:w="28" w:type="dxa"/>
                    <w:right w:w="28" w:type="dxa"/>
                  </w:tcMar>
                  <w:vAlign w:val="center"/>
                </w:tcPr>
                <w:p>
                  <w:pPr>
                    <w:tabs>
                      <w:tab w:val="left" w:pos="945"/>
                    </w:tabs>
                    <w:adjustRightInd w:val="0"/>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间断</w:t>
                  </w:r>
                </w:p>
              </w:tc>
              <w:tc>
                <w:tcPr>
                  <w:tcW w:w="3263" w:type="dxa"/>
                  <w:tcBorders>
                    <w:tl2br w:val="nil"/>
                    <w:tr2bl w:val="nil"/>
                  </w:tcBorders>
                  <w:tcMar>
                    <w:left w:w="28" w:type="dxa"/>
                    <w:right w:w="28" w:type="dxa"/>
                  </w:tcMar>
                  <w:vAlign w:val="center"/>
                </w:tcPr>
                <w:p>
                  <w:pPr>
                    <w:tabs>
                      <w:tab w:val="left" w:pos="945"/>
                    </w:tabs>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运营期废水主要为职工生活污水，利用周边居民旱厕，定期清掏，用于周边农田施肥。少量盥洗废水用于泼洒抑尘。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786" w:type="dxa"/>
                  <w:vMerge w:val="continue"/>
                  <w:tcBorders>
                    <w:tl2br w:val="nil"/>
                    <w:tr2bl w:val="nil"/>
                  </w:tcBorders>
                  <w:tcMar>
                    <w:left w:w="28" w:type="dxa"/>
                    <w:right w:w="28" w:type="dxa"/>
                  </w:tcMar>
                  <w:vAlign w:val="center"/>
                </w:tcPr>
                <w:p>
                  <w:pPr>
                    <w:tabs>
                      <w:tab w:val="left" w:pos="945"/>
                    </w:tabs>
                    <w:spacing w:line="320" w:lineRule="exact"/>
                    <w:jc w:val="center"/>
                    <w:rPr>
                      <w:rFonts w:hint="default" w:ascii="Times New Roman" w:hAnsi="Times New Roman" w:cs="Times New Roman"/>
                      <w:color w:val="auto"/>
                      <w:sz w:val="21"/>
                      <w:szCs w:val="21"/>
                    </w:rPr>
                  </w:pPr>
                </w:p>
              </w:tc>
              <w:tc>
                <w:tcPr>
                  <w:tcW w:w="742" w:type="dxa"/>
                  <w:tcBorders>
                    <w:tl2br w:val="nil"/>
                    <w:tr2bl w:val="nil"/>
                  </w:tcBorders>
                  <w:tcMar>
                    <w:left w:w="28" w:type="dxa"/>
                    <w:right w:w="28" w:type="dxa"/>
                  </w:tcMar>
                  <w:vAlign w:val="center"/>
                </w:tcPr>
                <w:p>
                  <w:pPr>
                    <w:tabs>
                      <w:tab w:val="left" w:pos="945"/>
                    </w:tabs>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W</w:t>
                  </w:r>
                  <w:r>
                    <w:rPr>
                      <w:rFonts w:hint="default" w:ascii="Times New Roman" w:hAnsi="Times New Roman" w:cs="Times New Roman"/>
                      <w:color w:val="auto"/>
                      <w:sz w:val="21"/>
                      <w:szCs w:val="21"/>
                      <w:lang w:val="en-US" w:eastAsia="zh-CN"/>
                    </w:rPr>
                    <w:t>2</w:t>
                  </w:r>
                </w:p>
              </w:tc>
              <w:tc>
                <w:tcPr>
                  <w:tcW w:w="1265" w:type="dxa"/>
                  <w:tcBorders>
                    <w:tl2br w:val="nil"/>
                    <w:tr2bl w:val="nil"/>
                  </w:tcBorders>
                  <w:tcMar>
                    <w:left w:w="28" w:type="dxa"/>
                    <w:right w:w="28" w:type="dxa"/>
                  </w:tcMar>
                  <w:vAlign w:val="center"/>
                </w:tcPr>
                <w:p>
                  <w:pPr>
                    <w:tabs>
                      <w:tab w:val="left" w:pos="945"/>
                    </w:tabs>
                    <w:adjustRightIn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空气能热泵废水</w:t>
                  </w:r>
                </w:p>
              </w:tc>
              <w:tc>
                <w:tcPr>
                  <w:tcW w:w="1425" w:type="dxa"/>
                  <w:tcBorders>
                    <w:tl2br w:val="nil"/>
                    <w:tr2bl w:val="nil"/>
                  </w:tcBorders>
                  <w:tcMar>
                    <w:left w:w="28" w:type="dxa"/>
                    <w:right w:w="28" w:type="dxa"/>
                  </w:tcMar>
                  <w:vAlign w:val="center"/>
                </w:tcPr>
                <w:p>
                  <w:pPr>
                    <w:tabs>
                      <w:tab w:val="left" w:pos="945"/>
                    </w:tabs>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COD、BOD</w:t>
                  </w:r>
                  <w:r>
                    <w:rPr>
                      <w:rFonts w:hint="default" w:ascii="Times New Roman" w:hAnsi="Times New Roman" w:cs="Times New Roman"/>
                      <w:color w:val="auto"/>
                      <w:sz w:val="21"/>
                      <w:szCs w:val="21"/>
                      <w:vertAlign w:val="subscript"/>
                    </w:rPr>
                    <w:t>5</w:t>
                  </w:r>
                  <w:r>
                    <w:rPr>
                      <w:rFonts w:hint="default" w:ascii="Times New Roman" w:hAnsi="Times New Roman" w:cs="Times New Roman"/>
                      <w:color w:val="auto"/>
                      <w:sz w:val="21"/>
                      <w:szCs w:val="21"/>
                    </w:rPr>
                    <w:t>、SS、氨氮等</w:t>
                  </w:r>
                </w:p>
              </w:tc>
              <w:tc>
                <w:tcPr>
                  <w:tcW w:w="728" w:type="dxa"/>
                  <w:tcBorders>
                    <w:tl2br w:val="nil"/>
                    <w:tr2bl w:val="nil"/>
                  </w:tcBorders>
                  <w:tcMar>
                    <w:left w:w="28" w:type="dxa"/>
                    <w:right w:w="28" w:type="dxa"/>
                  </w:tcMar>
                  <w:vAlign w:val="center"/>
                </w:tcPr>
                <w:p>
                  <w:pPr>
                    <w:tabs>
                      <w:tab w:val="left" w:pos="945"/>
                    </w:tabs>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间断</w:t>
                  </w:r>
                </w:p>
              </w:tc>
              <w:tc>
                <w:tcPr>
                  <w:tcW w:w="3263" w:type="dxa"/>
                  <w:tcBorders>
                    <w:tl2br w:val="nil"/>
                    <w:tr2bl w:val="nil"/>
                  </w:tcBorders>
                  <w:tcMar>
                    <w:left w:w="28" w:type="dxa"/>
                    <w:right w:w="28" w:type="dxa"/>
                  </w:tcMar>
                  <w:vAlign w:val="center"/>
                </w:tcPr>
                <w:p>
                  <w:pPr>
                    <w:tabs>
                      <w:tab w:val="left" w:pos="945"/>
                    </w:tabs>
                    <w:adjustRightInd w:val="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用于堆料棚洒水抑尘。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6" w:type="dxa"/>
                  <w:tcBorders>
                    <w:tl2br w:val="nil"/>
                    <w:tr2bl w:val="nil"/>
                  </w:tcBorders>
                  <w:tcMar>
                    <w:left w:w="28" w:type="dxa"/>
                    <w:right w:w="28" w:type="dxa"/>
                  </w:tcMar>
                  <w:vAlign w:val="center"/>
                </w:tcPr>
                <w:p>
                  <w:pPr>
                    <w:tabs>
                      <w:tab w:val="left" w:pos="945"/>
                    </w:tabs>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w:t>
                  </w:r>
                </w:p>
              </w:tc>
              <w:tc>
                <w:tcPr>
                  <w:tcW w:w="742" w:type="dxa"/>
                  <w:tcBorders>
                    <w:tl2br w:val="nil"/>
                    <w:tr2bl w:val="nil"/>
                  </w:tcBorders>
                  <w:tcMar>
                    <w:left w:w="28" w:type="dxa"/>
                    <w:right w:w="28" w:type="dxa"/>
                  </w:tcMar>
                  <w:vAlign w:val="center"/>
                </w:tcPr>
                <w:p>
                  <w:pPr>
                    <w:tabs>
                      <w:tab w:val="left" w:pos="945"/>
                    </w:tabs>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w:t>
                  </w:r>
                </w:p>
              </w:tc>
              <w:tc>
                <w:tcPr>
                  <w:tcW w:w="1265" w:type="dxa"/>
                  <w:tcBorders>
                    <w:tl2br w:val="nil"/>
                    <w:tr2bl w:val="nil"/>
                  </w:tcBorders>
                  <w:tcMar>
                    <w:left w:w="28" w:type="dxa"/>
                    <w:right w:w="28" w:type="dxa"/>
                  </w:tcMar>
                  <w:vAlign w:val="center"/>
                </w:tcPr>
                <w:p>
                  <w:pPr>
                    <w:tabs>
                      <w:tab w:val="left" w:pos="945"/>
                    </w:tabs>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设备运行</w:t>
                  </w:r>
                </w:p>
              </w:tc>
              <w:tc>
                <w:tcPr>
                  <w:tcW w:w="1425" w:type="dxa"/>
                  <w:tcBorders>
                    <w:tl2br w:val="nil"/>
                    <w:tr2bl w:val="nil"/>
                  </w:tcBorders>
                  <w:tcMar>
                    <w:left w:w="28" w:type="dxa"/>
                    <w:right w:w="28" w:type="dxa"/>
                  </w:tcMar>
                  <w:vAlign w:val="center"/>
                </w:tcPr>
                <w:p>
                  <w:pPr>
                    <w:tabs>
                      <w:tab w:val="left" w:pos="945"/>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w:t>
                  </w:r>
                  <w:r>
                    <w:rPr>
                      <w:rFonts w:hint="eastAsia" w:cs="Times New Roman"/>
                      <w:color w:val="auto"/>
                      <w:sz w:val="21"/>
                      <w:szCs w:val="21"/>
                      <w:lang w:val="en-US" w:eastAsia="zh-CN"/>
                    </w:rPr>
                    <w:t>85</w:t>
                  </w:r>
                  <w:r>
                    <w:rPr>
                      <w:rFonts w:hint="default" w:ascii="Times New Roman" w:hAnsi="Times New Roman" w:cs="Times New Roman"/>
                      <w:color w:val="auto"/>
                      <w:sz w:val="21"/>
                      <w:szCs w:val="21"/>
                    </w:rPr>
                    <w:t>dB(A)</w:t>
                  </w:r>
                </w:p>
              </w:tc>
              <w:tc>
                <w:tcPr>
                  <w:tcW w:w="728" w:type="dxa"/>
                  <w:tcBorders>
                    <w:tl2br w:val="nil"/>
                    <w:tr2bl w:val="nil"/>
                  </w:tcBorders>
                  <w:tcMar>
                    <w:left w:w="28" w:type="dxa"/>
                    <w:right w:w="28" w:type="dxa"/>
                  </w:tcMar>
                  <w:vAlign w:val="center"/>
                </w:tcPr>
                <w:p>
                  <w:pPr>
                    <w:tabs>
                      <w:tab w:val="left" w:pos="945"/>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连续</w:t>
                  </w:r>
                </w:p>
              </w:tc>
              <w:tc>
                <w:tcPr>
                  <w:tcW w:w="3263" w:type="dxa"/>
                  <w:tcBorders>
                    <w:tl2br w:val="nil"/>
                    <w:tr2bl w:val="nil"/>
                  </w:tcBorders>
                  <w:tcMar>
                    <w:left w:w="28" w:type="dxa"/>
                    <w:right w:w="28" w:type="dxa"/>
                  </w:tcMar>
                  <w:vAlign w:val="center"/>
                </w:tcPr>
                <w:p>
                  <w:pPr>
                    <w:tabs>
                      <w:tab w:val="left" w:pos="945"/>
                    </w:tabs>
                    <w:adjustRightInd w:val="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排向外环境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6" w:type="dxa"/>
                  <w:vMerge w:val="restart"/>
                  <w:tcBorders>
                    <w:tl2br w:val="nil"/>
                    <w:tr2bl w:val="nil"/>
                  </w:tcBorders>
                  <w:tcMar>
                    <w:left w:w="28" w:type="dxa"/>
                    <w:right w:w="28" w:type="dxa"/>
                  </w:tcMar>
                  <w:vAlign w:val="center"/>
                </w:tcPr>
                <w:p>
                  <w:pPr>
                    <w:tabs>
                      <w:tab w:val="left" w:pos="945"/>
                    </w:tabs>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固体</w:t>
                  </w:r>
                </w:p>
                <w:p>
                  <w:pPr>
                    <w:tabs>
                      <w:tab w:val="left" w:pos="945"/>
                    </w:tabs>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废物</w:t>
                  </w:r>
                </w:p>
              </w:tc>
              <w:tc>
                <w:tcPr>
                  <w:tcW w:w="742" w:type="dxa"/>
                  <w:tcBorders>
                    <w:tl2br w:val="nil"/>
                    <w:tr2bl w:val="nil"/>
                  </w:tcBorders>
                  <w:tcMar>
                    <w:left w:w="28" w:type="dxa"/>
                    <w:right w:w="28" w:type="dxa"/>
                  </w:tcMar>
                  <w:vAlign w:val="center"/>
                </w:tcPr>
                <w:p>
                  <w:pPr>
                    <w:tabs>
                      <w:tab w:val="left" w:pos="945"/>
                    </w:tabs>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S1</w:t>
                  </w:r>
                </w:p>
              </w:tc>
              <w:tc>
                <w:tcPr>
                  <w:tcW w:w="1265" w:type="dxa"/>
                  <w:tcBorders>
                    <w:tl2br w:val="nil"/>
                    <w:tr2bl w:val="nil"/>
                  </w:tcBorders>
                  <w:tcMar>
                    <w:left w:w="28" w:type="dxa"/>
                    <w:right w:w="28" w:type="dxa"/>
                  </w:tcMar>
                  <w:vAlign w:val="center"/>
                </w:tcPr>
                <w:p>
                  <w:pPr>
                    <w:tabs>
                      <w:tab w:val="left" w:pos="945"/>
                    </w:tabs>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废包装袋</w:t>
                  </w:r>
                </w:p>
              </w:tc>
              <w:tc>
                <w:tcPr>
                  <w:tcW w:w="1425" w:type="dxa"/>
                  <w:tcBorders>
                    <w:tl2br w:val="nil"/>
                    <w:tr2bl w:val="nil"/>
                  </w:tcBorders>
                  <w:tcMar>
                    <w:left w:w="28" w:type="dxa"/>
                    <w:right w:w="28" w:type="dxa"/>
                  </w:tcMar>
                  <w:vAlign w:val="center"/>
                </w:tcPr>
                <w:p>
                  <w:pPr>
                    <w:tabs>
                      <w:tab w:val="left" w:pos="945"/>
                    </w:tabs>
                    <w:jc w:val="center"/>
                    <w:rPr>
                      <w:rFonts w:hint="default" w:ascii="Times New Roman" w:hAnsi="Times New Roman" w:eastAsia="宋体" w:cs="Times New Roman"/>
                      <w:color w:val="auto"/>
                      <w:sz w:val="21"/>
                      <w:szCs w:val="21"/>
                      <w:lang w:val="en-US" w:eastAsia="zh-CN"/>
                    </w:rPr>
                  </w:pPr>
                  <w:r>
                    <w:rPr>
                      <w:rFonts w:hint="eastAsia" w:cs="Times New Roman"/>
                      <w:color w:val="auto"/>
                      <w:kern w:val="0"/>
                      <w:sz w:val="21"/>
                      <w:szCs w:val="21"/>
                      <w:lang w:val="en-US" w:eastAsia="zh-CN" w:bidi="ar"/>
                    </w:rPr>
                    <w:t>原料拆包</w:t>
                  </w:r>
                </w:p>
              </w:tc>
              <w:tc>
                <w:tcPr>
                  <w:tcW w:w="728" w:type="dxa"/>
                  <w:tcBorders>
                    <w:tl2br w:val="nil"/>
                    <w:tr2bl w:val="nil"/>
                  </w:tcBorders>
                  <w:tcMar>
                    <w:left w:w="28" w:type="dxa"/>
                    <w:right w:w="28" w:type="dxa"/>
                  </w:tcMar>
                  <w:vAlign w:val="center"/>
                </w:tcPr>
                <w:p>
                  <w:pPr>
                    <w:tabs>
                      <w:tab w:val="left" w:pos="945"/>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间断</w:t>
                  </w:r>
                </w:p>
              </w:tc>
              <w:tc>
                <w:tcPr>
                  <w:tcW w:w="3263" w:type="dxa"/>
                  <w:tcBorders>
                    <w:tl2br w:val="nil"/>
                    <w:tr2bl w:val="nil"/>
                  </w:tcBorders>
                  <w:tcMar>
                    <w:left w:w="28" w:type="dxa"/>
                    <w:right w:w="28" w:type="dxa"/>
                  </w:tcMar>
                  <w:vAlign w:val="center"/>
                </w:tcPr>
                <w:p>
                  <w:pPr>
                    <w:tabs>
                      <w:tab w:val="left" w:pos="945"/>
                    </w:tabs>
                    <w:adjustRightIn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集中收集后外售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6" w:type="dxa"/>
                  <w:vMerge w:val="continue"/>
                  <w:tcBorders>
                    <w:tl2br w:val="nil"/>
                    <w:tr2bl w:val="nil"/>
                  </w:tcBorders>
                  <w:tcMar>
                    <w:left w:w="28" w:type="dxa"/>
                    <w:right w:w="28" w:type="dxa"/>
                  </w:tcMar>
                  <w:vAlign w:val="center"/>
                </w:tcPr>
                <w:p>
                  <w:pPr>
                    <w:widowControl/>
                    <w:spacing w:line="320" w:lineRule="exact"/>
                    <w:ind w:firstLine="420" w:firstLineChars="200"/>
                    <w:jc w:val="center"/>
                    <w:rPr>
                      <w:rFonts w:hint="default" w:ascii="Times New Roman" w:hAnsi="Times New Roman" w:cs="Times New Roman"/>
                      <w:color w:val="auto"/>
                      <w:sz w:val="21"/>
                      <w:szCs w:val="21"/>
                    </w:rPr>
                  </w:pPr>
                </w:p>
              </w:tc>
              <w:tc>
                <w:tcPr>
                  <w:tcW w:w="742" w:type="dxa"/>
                  <w:tcBorders>
                    <w:tl2br w:val="nil"/>
                    <w:tr2bl w:val="nil"/>
                  </w:tcBorders>
                  <w:tcMar>
                    <w:left w:w="28" w:type="dxa"/>
                    <w:right w:w="28" w:type="dxa"/>
                  </w:tcMar>
                  <w:vAlign w:val="center"/>
                </w:tcPr>
                <w:p>
                  <w:pPr>
                    <w:tabs>
                      <w:tab w:val="left" w:pos="945"/>
                    </w:tabs>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S</w:t>
                  </w:r>
                  <w:r>
                    <w:rPr>
                      <w:rFonts w:hint="eastAsia" w:cs="Times New Roman"/>
                      <w:color w:val="auto"/>
                      <w:sz w:val="21"/>
                      <w:szCs w:val="21"/>
                      <w:lang w:val="en-US" w:eastAsia="zh-CN"/>
                    </w:rPr>
                    <w:t>2</w:t>
                  </w:r>
                </w:p>
              </w:tc>
              <w:tc>
                <w:tcPr>
                  <w:tcW w:w="1265" w:type="dxa"/>
                  <w:tcBorders>
                    <w:tl2br w:val="nil"/>
                    <w:tr2bl w:val="nil"/>
                  </w:tcBorders>
                  <w:tcMar>
                    <w:left w:w="28" w:type="dxa"/>
                    <w:right w:w="28" w:type="dxa"/>
                  </w:tcMar>
                  <w:vAlign w:val="center"/>
                </w:tcPr>
                <w:p>
                  <w:pPr>
                    <w:tabs>
                      <w:tab w:val="left" w:pos="945"/>
                    </w:tabs>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工作人员</w:t>
                  </w:r>
                </w:p>
              </w:tc>
              <w:tc>
                <w:tcPr>
                  <w:tcW w:w="1425" w:type="dxa"/>
                  <w:tcBorders>
                    <w:tl2br w:val="nil"/>
                    <w:tr2bl w:val="nil"/>
                  </w:tcBorders>
                  <w:tcMar>
                    <w:left w:w="28" w:type="dxa"/>
                    <w:right w:w="28" w:type="dxa"/>
                  </w:tcMar>
                  <w:vAlign w:val="center"/>
                </w:tcPr>
                <w:p>
                  <w:pPr>
                    <w:tabs>
                      <w:tab w:val="left" w:pos="945"/>
                    </w:tabs>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生活垃圾</w:t>
                  </w:r>
                </w:p>
              </w:tc>
              <w:tc>
                <w:tcPr>
                  <w:tcW w:w="728" w:type="dxa"/>
                  <w:tcBorders>
                    <w:tl2br w:val="nil"/>
                    <w:tr2bl w:val="nil"/>
                  </w:tcBorders>
                  <w:tcMar>
                    <w:left w:w="28" w:type="dxa"/>
                    <w:right w:w="28" w:type="dxa"/>
                  </w:tcMar>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间断</w:t>
                  </w:r>
                </w:p>
              </w:tc>
              <w:tc>
                <w:tcPr>
                  <w:tcW w:w="3263" w:type="dxa"/>
                  <w:tcBorders>
                    <w:tl2br w:val="nil"/>
                    <w:tr2bl w:val="nil"/>
                  </w:tcBorders>
                  <w:tcMar>
                    <w:left w:w="28" w:type="dxa"/>
                    <w:right w:w="28" w:type="dxa"/>
                  </w:tcMar>
                  <w:vAlign w:val="center"/>
                </w:tcPr>
                <w:p>
                  <w:pPr>
                    <w:tabs>
                      <w:tab w:val="left" w:pos="945"/>
                    </w:tabs>
                    <w:adjustRightIn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交由环卫部门统一清运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6" w:type="dxa"/>
                  <w:vMerge w:val="continue"/>
                  <w:tcBorders>
                    <w:tl2br w:val="nil"/>
                    <w:tr2bl w:val="nil"/>
                  </w:tcBorders>
                  <w:tcMar>
                    <w:left w:w="28" w:type="dxa"/>
                    <w:right w:w="28" w:type="dxa"/>
                  </w:tcMar>
                  <w:vAlign w:val="center"/>
                </w:tcPr>
                <w:p>
                  <w:pPr>
                    <w:widowControl/>
                    <w:spacing w:line="320" w:lineRule="exact"/>
                    <w:ind w:firstLine="420" w:firstLineChars="200"/>
                    <w:jc w:val="center"/>
                    <w:rPr>
                      <w:rFonts w:hint="default" w:ascii="Times New Roman" w:hAnsi="Times New Roman" w:cs="Times New Roman"/>
                      <w:color w:val="auto"/>
                      <w:sz w:val="21"/>
                      <w:szCs w:val="21"/>
                    </w:rPr>
                  </w:pPr>
                </w:p>
              </w:tc>
              <w:tc>
                <w:tcPr>
                  <w:tcW w:w="742" w:type="dxa"/>
                  <w:tcBorders>
                    <w:tl2br w:val="nil"/>
                    <w:tr2bl w:val="nil"/>
                  </w:tcBorders>
                  <w:tcMar>
                    <w:left w:w="28" w:type="dxa"/>
                    <w:right w:w="28" w:type="dxa"/>
                  </w:tcMar>
                  <w:vAlign w:val="center"/>
                </w:tcPr>
                <w:p>
                  <w:pPr>
                    <w:tabs>
                      <w:tab w:val="left" w:pos="945"/>
                    </w:tabs>
                    <w:snapToGrid w:val="0"/>
                    <w:jc w:val="center"/>
                    <w:rPr>
                      <w:rFonts w:hint="default" w:cs="Times New Roman"/>
                      <w:color w:val="auto"/>
                      <w:sz w:val="21"/>
                      <w:szCs w:val="21"/>
                      <w:lang w:val="en-US" w:eastAsia="zh-CN"/>
                    </w:rPr>
                  </w:pPr>
                  <w:r>
                    <w:rPr>
                      <w:rFonts w:hint="eastAsia" w:cs="Times New Roman"/>
                      <w:color w:val="auto"/>
                      <w:sz w:val="21"/>
                      <w:szCs w:val="21"/>
                      <w:lang w:val="en-US" w:eastAsia="zh-CN"/>
                    </w:rPr>
                    <w:t>S3</w:t>
                  </w:r>
                </w:p>
              </w:tc>
              <w:tc>
                <w:tcPr>
                  <w:tcW w:w="1265" w:type="dxa"/>
                  <w:tcBorders>
                    <w:tl2br w:val="nil"/>
                    <w:tr2bl w:val="nil"/>
                  </w:tcBorders>
                  <w:tcMar>
                    <w:left w:w="28" w:type="dxa"/>
                    <w:right w:w="28" w:type="dxa"/>
                  </w:tcMar>
                  <w:vAlign w:val="center"/>
                </w:tcPr>
                <w:p>
                  <w:pPr>
                    <w:tabs>
                      <w:tab w:val="left" w:pos="945"/>
                    </w:tabs>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废弃菌棒</w:t>
                  </w:r>
                </w:p>
              </w:tc>
              <w:tc>
                <w:tcPr>
                  <w:tcW w:w="1425" w:type="dxa"/>
                  <w:tcBorders>
                    <w:tl2br w:val="nil"/>
                    <w:tr2bl w:val="nil"/>
                  </w:tcBorders>
                  <w:tcMar>
                    <w:left w:w="28" w:type="dxa"/>
                    <w:right w:w="28" w:type="dxa"/>
                  </w:tcMar>
                  <w:vAlign w:val="center"/>
                </w:tcPr>
                <w:p>
                  <w:pPr>
                    <w:tabs>
                      <w:tab w:val="left" w:pos="945"/>
                    </w:tabs>
                    <w:jc w:val="center"/>
                    <w:rPr>
                      <w:rFonts w:hint="eastAsia"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废弃菌棒</w:t>
                  </w:r>
                </w:p>
              </w:tc>
              <w:tc>
                <w:tcPr>
                  <w:tcW w:w="728" w:type="dxa"/>
                  <w:tcBorders>
                    <w:tl2br w:val="nil"/>
                    <w:tr2bl w:val="nil"/>
                  </w:tcBorders>
                  <w:shd w:val="clear" w:color="auto" w:fill="auto"/>
                  <w:tcMar>
                    <w:left w:w="28" w:type="dxa"/>
                    <w:right w:w="28" w:type="dxa"/>
                  </w:tcMar>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连续</w:t>
                  </w:r>
                </w:p>
              </w:tc>
              <w:tc>
                <w:tcPr>
                  <w:tcW w:w="3263" w:type="dxa"/>
                  <w:tcBorders>
                    <w:tl2br w:val="nil"/>
                    <w:tr2bl w:val="nil"/>
                  </w:tcBorders>
                  <w:shd w:val="clear" w:color="auto" w:fill="auto"/>
                  <w:tcMar>
                    <w:left w:w="28" w:type="dxa"/>
                    <w:right w:w="28" w:type="dxa"/>
                  </w:tcMar>
                  <w:vAlign w:val="center"/>
                </w:tcPr>
                <w:p>
                  <w:pPr>
                    <w:tabs>
                      <w:tab w:val="left" w:pos="945"/>
                    </w:tabs>
                    <w:adjustRightInd w:val="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外售综合利用</w:t>
                  </w:r>
                </w:p>
              </w:tc>
            </w:tr>
          </w:tbl>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项目营运期对环境的影响主要是废水、噪声、固体废物等方面。</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eastAsia="仿宋_GB2312" w:cs="Times New Roman"/>
                <w:b/>
                <w:bCs/>
                <w:color w:val="auto"/>
                <w:kern w:val="2"/>
                <w:sz w:val="24"/>
                <w:szCs w:val="24"/>
                <w:highlight w:val="none"/>
                <w:lang w:val="en-US" w:eastAsia="zh-CN" w:bidi="ar-SA"/>
              </w:rPr>
            </w:pPr>
            <w:r>
              <w:rPr>
                <w:rFonts w:hint="eastAsia" w:eastAsia="仿宋_GB2312" w:cs="Times New Roman"/>
                <w:b/>
                <w:bCs/>
                <w:color w:val="auto"/>
                <w:kern w:val="2"/>
                <w:sz w:val="24"/>
                <w:szCs w:val="24"/>
                <w:highlight w:val="none"/>
                <w:lang w:val="en-US" w:eastAsia="zh-CN" w:bidi="ar-SA"/>
              </w:rPr>
              <w:t>1</w:t>
            </w:r>
            <w:r>
              <w:rPr>
                <w:rFonts w:hint="eastAsia" w:ascii="Times New Roman" w:hAnsi="Times New Roman" w:eastAsia="仿宋_GB2312" w:cs="Times New Roman"/>
                <w:b/>
                <w:bCs/>
                <w:color w:val="auto"/>
                <w:kern w:val="2"/>
                <w:sz w:val="24"/>
                <w:szCs w:val="24"/>
                <w:highlight w:val="none"/>
                <w:lang w:val="en-US" w:eastAsia="zh-CN" w:bidi="ar-SA"/>
              </w:rPr>
              <w:t>.废水污染防治措施</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eastAsia="仿宋_GB2312" w:cs="Times New Roman"/>
                <w:b/>
                <w:bCs/>
                <w:color w:val="auto"/>
                <w:kern w:val="2"/>
                <w:sz w:val="24"/>
                <w:szCs w:val="24"/>
                <w:highlight w:val="none"/>
                <w:lang w:val="en-US" w:eastAsia="zh-CN" w:bidi="ar-SA"/>
              </w:rPr>
            </w:pPr>
            <w:r>
              <w:rPr>
                <w:rFonts w:hint="eastAsia" w:ascii="Times New Roman" w:hAnsi="Times New Roman" w:eastAsia="仿宋_GB2312" w:cs="Times New Roman"/>
                <w:b/>
                <w:bCs/>
                <w:color w:val="auto"/>
                <w:kern w:val="2"/>
                <w:sz w:val="24"/>
                <w:szCs w:val="24"/>
                <w:highlight w:val="none"/>
                <w:lang w:val="en-US" w:eastAsia="zh-CN" w:bidi="ar-SA"/>
              </w:rPr>
              <w:t>2.1产排污环节</w:t>
            </w:r>
          </w:p>
          <w:p>
            <w:pPr>
              <w:pStyle w:val="115"/>
              <w:spacing w:line="360" w:lineRule="auto"/>
              <w:rPr>
                <w:rFonts w:hint="default" w:ascii="Times New Roman" w:hAnsi="Times New Roman" w:eastAsia="仿宋_GB2312" w:cs="Times New Roman"/>
                <w:color w:val="auto"/>
                <w:highlight w:val="none"/>
                <w:lang w:val="en-US" w:eastAsia="zh-CN"/>
              </w:rPr>
            </w:pPr>
            <w:r>
              <w:rPr>
                <w:rFonts w:hint="eastAsia" w:ascii="Times New Roman" w:hAnsi="Times New Roman" w:eastAsia="仿宋_GB2312" w:cs="Times New Roman"/>
                <w:color w:val="auto"/>
                <w:highlight w:val="none"/>
                <w:lang w:val="en-US" w:eastAsia="zh-CN"/>
              </w:rPr>
              <w:t>项目运营期废水主要为生活污水、空气能热泵排水。</w:t>
            </w:r>
          </w:p>
          <w:p>
            <w:pPr>
              <w:pStyle w:val="115"/>
              <w:spacing w:line="360" w:lineRule="auto"/>
              <w:rPr>
                <w:rFonts w:hint="eastAsia" w:ascii="Times New Roman" w:hAnsi="Times New Roman" w:eastAsia="仿宋_GB2312" w:cs="Times New Roman"/>
                <w:color w:val="auto"/>
                <w:highlight w:val="none"/>
                <w:lang w:val="en-US" w:eastAsia="zh-CN"/>
              </w:rPr>
            </w:pPr>
            <w:r>
              <w:rPr>
                <w:rFonts w:hint="default" w:ascii="Times New Roman" w:hAnsi="Times New Roman" w:eastAsia="仿宋_GB2312" w:cs="Times New Roman"/>
                <w:color w:val="auto"/>
                <w:highlight w:val="none"/>
                <w:lang w:val="en-US" w:eastAsia="zh-CN"/>
              </w:rPr>
              <w:t>生活污水产生量按80%计，产生量为</w:t>
            </w:r>
            <w:r>
              <w:rPr>
                <w:rFonts w:hint="eastAsia" w:ascii="Times New Roman" w:hAnsi="Times New Roman" w:eastAsia="仿宋_GB2312" w:cs="Times New Roman"/>
                <w:color w:val="auto"/>
                <w:highlight w:val="none"/>
                <w:lang w:val="en-US" w:eastAsia="zh-CN"/>
              </w:rPr>
              <w:t>2000</w:t>
            </w:r>
            <w:r>
              <w:rPr>
                <w:rFonts w:hint="default" w:ascii="Times New Roman" w:hAnsi="Times New Roman" w:eastAsia="仿宋_GB2312" w:cs="Times New Roman"/>
                <w:color w:val="auto"/>
                <w:highlight w:val="none"/>
                <w:lang w:val="en-US" w:eastAsia="zh-CN"/>
              </w:rPr>
              <w:t>m</w:t>
            </w:r>
            <w:r>
              <w:rPr>
                <w:rFonts w:hint="default" w:ascii="Times New Roman" w:hAnsi="Times New Roman" w:eastAsia="仿宋_GB2312" w:cs="Times New Roman"/>
                <w:color w:val="auto"/>
                <w:highlight w:val="none"/>
                <w:vertAlign w:val="superscript"/>
                <w:lang w:val="en-US" w:eastAsia="zh-CN"/>
              </w:rPr>
              <w:t>3</w:t>
            </w:r>
            <w:r>
              <w:rPr>
                <w:rFonts w:hint="default" w:ascii="Times New Roman" w:hAnsi="Times New Roman" w:eastAsia="仿宋_GB2312" w:cs="Times New Roman"/>
                <w:color w:val="auto"/>
                <w:highlight w:val="none"/>
                <w:lang w:val="en-US" w:eastAsia="zh-CN"/>
              </w:rPr>
              <w:t>/a（</w:t>
            </w:r>
            <w:r>
              <w:rPr>
                <w:rFonts w:hint="eastAsia" w:ascii="Times New Roman" w:hAnsi="Times New Roman" w:eastAsia="仿宋_GB2312" w:cs="Times New Roman"/>
                <w:color w:val="auto"/>
                <w:highlight w:val="none"/>
                <w:lang w:val="en-US" w:eastAsia="zh-CN"/>
              </w:rPr>
              <w:t>6.06</w:t>
            </w:r>
            <w:r>
              <w:rPr>
                <w:rFonts w:hint="default" w:ascii="Times New Roman" w:hAnsi="Times New Roman" w:eastAsia="仿宋_GB2312" w:cs="Times New Roman"/>
                <w:color w:val="auto"/>
                <w:highlight w:val="none"/>
                <w:lang w:val="en-US" w:eastAsia="zh-CN"/>
              </w:rPr>
              <w:t>m</w:t>
            </w:r>
            <w:r>
              <w:rPr>
                <w:rFonts w:hint="default" w:ascii="Times New Roman" w:hAnsi="Times New Roman" w:eastAsia="仿宋_GB2312" w:cs="Times New Roman"/>
                <w:color w:val="auto"/>
                <w:highlight w:val="none"/>
                <w:vertAlign w:val="superscript"/>
                <w:lang w:val="en-US" w:eastAsia="zh-CN"/>
              </w:rPr>
              <w:t>3</w:t>
            </w:r>
            <w:r>
              <w:rPr>
                <w:rFonts w:hint="default" w:ascii="Times New Roman" w:hAnsi="Times New Roman" w:eastAsia="仿宋_GB2312" w:cs="Times New Roman"/>
                <w:color w:val="auto"/>
                <w:highlight w:val="none"/>
                <w:lang w:val="en-US" w:eastAsia="zh-CN"/>
              </w:rPr>
              <w:t>/d），利用周边居民旱厕，定期清掏，用于周边农田施肥。少量盥洗废水用于泼洒抑尘</w:t>
            </w:r>
            <w:r>
              <w:rPr>
                <w:rFonts w:hint="eastAsia" w:ascii="Times New Roman" w:hAnsi="Times New Roman" w:eastAsia="仿宋_GB2312" w:cs="Times New Roman"/>
                <w:color w:val="auto"/>
                <w:highlight w:val="none"/>
                <w:lang w:val="en-US" w:eastAsia="zh-CN"/>
              </w:rPr>
              <w:t>。</w:t>
            </w:r>
          </w:p>
          <w:p>
            <w:pPr>
              <w:pStyle w:val="115"/>
              <w:spacing w:line="360" w:lineRule="auto"/>
              <w:rPr>
                <w:rFonts w:hint="default" w:ascii="Times New Roman" w:hAnsi="Times New Roman" w:eastAsia="仿宋_GB2312" w:cs="Times New Roman"/>
                <w:color w:val="auto"/>
                <w:highlight w:val="none"/>
                <w:lang w:val="en-US" w:eastAsia="zh-CN"/>
              </w:rPr>
            </w:pPr>
            <w:r>
              <w:rPr>
                <w:rFonts w:hint="eastAsia" w:ascii="Times New Roman" w:hAnsi="Times New Roman" w:eastAsia="仿宋_GB2312" w:cs="Times New Roman"/>
                <w:color w:val="auto"/>
                <w:highlight w:val="none"/>
                <w:lang w:val="en-US" w:eastAsia="zh-CN"/>
              </w:rPr>
              <w:t>空气能热泵排水产生量为660m</w:t>
            </w:r>
            <w:r>
              <w:rPr>
                <w:rFonts w:hint="eastAsia" w:ascii="Times New Roman" w:hAnsi="Times New Roman" w:eastAsia="仿宋_GB2312" w:cs="Times New Roman"/>
                <w:color w:val="auto"/>
                <w:highlight w:val="none"/>
                <w:vertAlign w:val="superscript"/>
                <w:lang w:val="en-US" w:eastAsia="zh-CN"/>
              </w:rPr>
              <w:t>3</w:t>
            </w:r>
            <w:r>
              <w:rPr>
                <w:rFonts w:hint="eastAsia" w:ascii="Times New Roman" w:hAnsi="Times New Roman" w:eastAsia="仿宋_GB2312" w:cs="Times New Roman"/>
                <w:color w:val="auto"/>
                <w:highlight w:val="none"/>
                <w:lang w:val="en-US" w:eastAsia="zh-CN"/>
              </w:rPr>
              <w:t>/a（2.0m</w:t>
            </w:r>
            <w:r>
              <w:rPr>
                <w:rFonts w:hint="eastAsia" w:ascii="Times New Roman" w:hAnsi="Times New Roman" w:eastAsia="仿宋_GB2312" w:cs="Times New Roman"/>
                <w:color w:val="auto"/>
                <w:highlight w:val="none"/>
                <w:vertAlign w:val="superscript"/>
                <w:lang w:val="en-US" w:eastAsia="zh-CN"/>
              </w:rPr>
              <w:t>3</w:t>
            </w:r>
            <w:r>
              <w:rPr>
                <w:rFonts w:hint="eastAsia" w:ascii="Times New Roman" w:hAnsi="Times New Roman" w:eastAsia="仿宋_GB2312" w:cs="Times New Roman"/>
                <w:color w:val="auto"/>
                <w:highlight w:val="none"/>
                <w:lang w:val="en-US" w:eastAsia="zh-CN"/>
              </w:rPr>
              <w:t>/d），用于菌棒堆料棚洒水抑尘，不外排。</w:t>
            </w:r>
          </w:p>
          <w:p>
            <w:pPr>
              <w:pStyle w:val="90"/>
              <w:keepNext w:val="0"/>
              <w:keepLines w:val="0"/>
              <w:pageBreakBefore w:val="0"/>
              <w:widowControl w:val="0"/>
              <w:kinsoku/>
              <w:wordWrap/>
              <w:overflowPunct/>
              <w:topLinePunct w:val="0"/>
              <w:autoSpaceDE/>
              <w:autoSpaceDN/>
              <w:bidi w:val="0"/>
              <w:adjustRightInd/>
              <w:snapToGrid/>
              <w:spacing w:line="360" w:lineRule="auto"/>
              <w:ind w:right="0"/>
              <w:jc w:val="both"/>
              <w:textAlignment w:val="auto"/>
              <w:rPr>
                <w:rFonts w:hint="default" w:ascii="Times New Roman" w:hAnsi="Times New Roman" w:eastAsia="仿宋_GB2312" w:cs="Times New Roman"/>
                <w:b/>
                <w:bCs/>
                <w:color w:val="auto"/>
                <w:spacing w:val="0"/>
                <w:kern w:val="2"/>
                <w:sz w:val="24"/>
                <w:szCs w:val="24"/>
                <w:highlight w:val="none"/>
                <w:lang w:val="en-US" w:eastAsia="zh-CN" w:bidi="ar-SA"/>
              </w:rPr>
            </w:pPr>
            <w:r>
              <w:rPr>
                <w:rFonts w:hint="eastAsia" w:ascii="Times New Roman" w:hAnsi="Times New Roman" w:eastAsia="仿宋_GB2312" w:cs="Times New Roman"/>
                <w:b/>
                <w:bCs/>
                <w:color w:val="auto"/>
                <w:spacing w:val="0"/>
                <w:kern w:val="2"/>
                <w:sz w:val="24"/>
                <w:szCs w:val="24"/>
                <w:highlight w:val="none"/>
                <w:lang w:val="en-US" w:eastAsia="zh-CN" w:bidi="ar-SA"/>
              </w:rPr>
              <w:t>2.</w:t>
            </w:r>
            <w:r>
              <w:rPr>
                <w:rFonts w:hint="default" w:ascii="Times New Roman" w:hAnsi="Times New Roman" w:eastAsia="仿宋_GB2312" w:cs="Times New Roman"/>
                <w:b/>
                <w:bCs/>
                <w:color w:val="auto"/>
                <w:spacing w:val="0"/>
                <w:kern w:val="2"/>
                <w:sz w:val="24"/>
                <w:szCs w:val="24"/>
                <w:highlight w:val="none"/>
                <w:lang w:val="en-US" w:eastAsia="zh-CN" w:bidi="ar-SA"/>
              </w:rPr>
              <w:t>噪声环境影响分析</w:t>
            </w:r>
          </w:p>
          <w:p>
            <w:pPr>
              <w:pStyle w:val="90"/>
              <w:keepNext w:val="0"/>
              <w:keepLines w:val="0"/>
              <w:pageBreakBefore w:val="0"/>
              <w:widowControl w:val="0"/>
              <w:kinsoku/>
              <w:wordWrap/>
              <w:overflowPunct/>
              <w:topLinePunct w:val="0"/>
              <w:autoSpaceDE/>
              <w:autoSpaceDN/>
              <w:bidi w:val="0"/>
              <w:adjustRightInd/>
              <w:snapToGrid/>
              <w:spacing w:line="360" w:lineRule="auto"/>
              <w:ind w:right="0"/>
              <w:jc w:val="both"/>
              <w:textAlignment w:val="auto"/>
              <w:rPr>
                <w:rFonts w:hint="eastAsia" w:ascii="Times New Roman" w:hAnsi="Times New Roman" w:eastAsia="仿宋_GB2312" w:cs="Times New Roman"/>
                <w:b/>
                <w:bCs/>
                <w:color w:val="auto"/>
                <w:spacing w:val="0"/>
                <w:kern w:val="2"/>
                <w:sz w:val="24"/>
                <w:szCs w:val="24"/>
                <w:highlight w:val="none"/>
                <w:lang w:val="en-US" w:eastAsia="zh-CN" w:bidi="ar-SA"/>
              </w:rPr>
            </w:pPr>
            <w:r>
              <w:rPr>
                <w:rFonts w:hint="eastAsia" w:ascii="Times New Roman" w:hAnsi="Times New Roman" w:eastAsia="仿宋_GB2312" w:cs="Times New Roman"/>
                <w:b/>
                <w:bCs/>
                <w:color w:val="auto"/>
                <w:spacing w:val="0"/>
                <w:kern w:val="2"/>
                <w:sz w:val="24"/>
                <w:szCs w:val="24"/>
                <w:highlight w:val="none"/>
                <w:lang w:val="en-US" w:eastAsia="zh-CN" w:bidi="ar-SA"/>
              </w:rPr>
              <w:t>2.1噪声源强</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仿宋_GB2312" w:cs="Times New Roman"/>
                <w:bCs/>
                <w:snapToGrid w:val="0"/>
                <w:color w:val="auto"/>
                <w:kern w:val="0"/>
                <w:sz w:val="24"/>
                <w:szCs w:val="18"/>
                <w:highlight w:val="none"/>
                <w:lang w:val="en-US" w:eastAsia="zh-CN" w:bidi="ar-SA"/>
              </w:rPr>
            </w:pPr>
            <w:r>
              <w:rPr>
                <w:rFonts w:hint="eastAsia" w:ascii="Times New Roman" w:hAnsi="Times New Roman" w:eastAsia="仿宋_GB2312" w:cs="Times New Roman"/>
                <w:bCs/>
                <w:snapToGrid w:val="0"/>
                <w:color w:val="auto"/>
                <w:kern w:val="0"/>
                <w:sz w:val="24"/>
                <w:szCs w:val="18"/>
                <w:highlight w:val="none"/>
                <w:lang w:val="en-US" w:eastAsia="zh-CN" w:bidi="ar-SA"/>
              </w:rPr>
              <w:t>本项目运营期噪声主要为</w:t>
            </w:r>
            <w:r>
              <w:rPr>
                <w:rFonts w:hint="eastAsia" w:eastAsia="仿宋_GB2312" w:cs="Times New Roman"/>
                <w:color w:val="auto"/>
                <w:sz w:val="24"/>
                <w:szCs w:val="24"/>
                <w:highlight w:val="none"/>
                <w:lang w:val="en-US" w:eastAsia="zh-CN"/>
              </w:rPr>
              <w:t>泾河源镇白面村菌菇产业园区建设工程菌棒加工车间</w:t>
            </w:r>
            <w:r>
              <w:rPr>
                <w:rFonts w:hint="eastAsia" w:ascii="Times New Roman" w:hAnsi="Times New Roman" w:eastAsia="仿宋_GB2312" w:cs="Times New Roman"/>
                <w:bCs/>
                <w:snapToGrid w:val="0"/>
                <w:color w:val="auto"/>
                <w:kern w:val="0"/>
                <w:sz w:val="24"/>
                <w:szCs w:val="18"/>
                <w:highlight w:val="none"/>
                <w:lang w:val="en-US" w:eastAsia="zh-CN" w:bidi="ar-SA"/>
              </w:rPr>
              <w:t>粉碎机组、自动包装机等设备，噪声值均在70~80dB(A)之间。本项目产生及排放噪声强度情况见下表。</w:t>
            </w:r>
          </w:p>
        </w:tc>
      </w:tr>
    </w:tbl>
    <w:p>
      <w:pPr>
        <w:rPr>
          <w:color w:val="auto"/>
        </w:rPr>
        <w:sectPr>
          <w:pgSz w:w="11907" w:h="16840"/>
          <w:pgMar w:top="1701" w:right="1417" w:bottom="1701"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35"/>
        <w:tblW w:w="500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07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0" w:hRule="atLeast"/>
          <w:jc w:val="center"/>
        </w:trPr>
        <w:tc>
          <w:tcPr>
            <w:tcW w:w="5000" w:type="pct"/>
            <w:noWrap w:val="0"/>
            <w:tcMar>
              <w:left w:w="28" w:type="dxa"/>
              <w:right w:w="28" w:type="dxa"/>
            </w:tcMar>
            <w:vAlign w:val="center"/>
          </w:tcPr>
          <w:p>
            <w:pPr>
              <w:snapToGrid w:val="0"/>
              <w:ind w:firstLine="630" w:firstLineChars="300"/>
              <w:rPr>
                <w:rFonts w:hint="eastAsia" w:eastAsia="宋体"/>
                <w:b/>
                <w:bCs/>
                <w:color w:val="auto"/>
                <w:sz w:val="24"/>
                <w:lang w:eastAsia="zh-CN"/>
              </w:rPr>
            </w:pPr>
            <w:r>
              <w:rPr>
                <w:bCs/>
                <w:color w:val="auto"/>
              </w:rPr>
              <w:t>表</w:t>
            </w:r>
            <w:r>
              <w:rPr>
                <w:rFonts w:hint="eastAsia"/>
                <w:bCs/>
                <w:color w:val="auto"/>
                <w:lang w:val="en-US" w:eastAsia="zh-CN"/>
              </w:rPr>
              <w:t>37</w:t>
            </w:r>
            <w:r>
              <w:rPr>
                <w:bCs/>
                <w:color w:val="auto"/>
              </w:rPr>
              <w:t xml:space="preserve"> </w:t>
            </w:r>
            <w:r>
              <w:rPr>
                <w:b/>
                <w:bCs/>
                <w:color w:val="auto"/>
              </w:rPr>
              <w:t xml:space="preserve">    </w:t>
            </w:r>
            <w:r>
              <w:rPr>
                <w:rFonts w:hint="eastAsia"/>
                <w:b/>
                <w:bCs/>
                <w:color w:val="auto"/>
              </w:rPr>
              <w:t xml:space="preserve">                      </w:t>
            </w:r>
            <w:r>
              <w:rPr>
                <w:b/>
                <w:bCs/>
                <w:color w:val="auto"/>
              </w:rPr>
              <w:t xml:space="preserve">    </w:t>
            </w:r>
            <w:r>
              <w:rPr>
                <w:b/>
                <w:bCs/>
                <w:color w:val="auto"/>
                <w:sz w:val="24"/>
              </w:rPr>
              <w:t xml:space="preserve"> 本项目主要设备噪声源及治理措施一览表</w:t>
            </w:r>
            <w:r>
              <w:rPr>
                <w:rFonts w:hint="eastAsia"/>
                <w:b/>
                <w:bCs/>
                <w:color w:val="auto"/>
                <w:sz w:val="24"/>
                <w:lang w:eastAsia="zh-CN"/>
              </w:rPr>
              <w:t>（</w:t>
            </w:r>
            <w:r>
              <w:rPr>
                <w:rFonts w:hint="eastAsia"/>
                <w:b/>
                <w:bCs/>
                <w:color w:val="auto"/>
                <w:sz w:val="24"/>
                <w:lang w:val="en-US" w:eastAsia="zh-CN"/>
              </w:rPr>
              <w:t>室内声源</w:t>
            </w:r>
            <w:r>
              <w:rPr>
                <w:rFonts w:hint="eastAsia"/>
                <w:b/>
                <w:bCs/>
                <w:color w:val="auto"/>
                <w:sz w:val="24"/>
                <w:lang w:eastAsia="zh-CN"/>
              </w:rPr>
              <w:t>）</w:t>
            </w:r>
          </w:p>
          <w:tbl>
            <w:tblPr>
              <w:tblStyle w:val="35"/>
              <w:tblW w:w="488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06"/>
              <w:gridCol w:w="1666"/>
              <w:gridCol w:w="663"/>
              <w:gridCol w:w="881"/>
              <w:gridCol w:w="1151"/>
              <w:gridCol w:w="686"/>
              <w:gridCol w:w="757"/>
              <w:gridCol w:w="632"/>
              <w:gridCol w:w="856"/>
              <w:gridCol w:w="947"/>
              <w:gridCol w:w="607"/>
              <w:gridCol w:w="947"/>
              <w:gridCol w:w="1029"/>
              <w:gridCol w:w="11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278" w:type="pct"/>
                  <w:vMerge w:val="restart"/>
                  <w:noWrap w:val="0"/>
                  <w:vAlign w:val="center"/>
                </w:tcPr>
                <w:p>
                  <w:pPr>
                    <w:snapToGrid w:val="0"/>
                    <w:jc w:val="center"/>
                    <w:rPr>
                      <w:rFonts w:hint="default" w:eastAsia="宋体"/>
                      <w:b/>
                      <w:color w:val="auto"/>
                      <w:lang w:val="en-US" w:eastAsia="zh-CN"/>
                    </w:rPr>
                  </w:pPr>
                  <w:r>
                    <w:rPr>
                      <w:rFonts w:hint="eastAsia"/>
                      <w:b/>
                      <w:color w:val="auto"/>
                      <w:lang w:val="en-US" w:eastAsia="zh-CN"/>
                    </w:rPr>
                    <w:t>建筑物名称</w:t>
                  </w:r>
                </w:p>
              </w:tc>
              <w:tc>
                <w:tcPr>
                  <w:tcW w:w="656" w:type="pct"/>
                  <w:vMerge w:val="restart"/>
                  <w:noWrap w:val="0"/>
                  <w:vAlign w:val="center"/>
                </w:tcPr>
                <w:p>
                  <w:pPr>
                    <w:snapToGrid w:val="0"/>
                    <w:jc w:val="center"/>
                    <w:rPr>
                      <w:b/>
                      <w:color w:val="auto"/>
                    </w:rPr>
                  </w:pPr>
                  <w:r>
                    <w:rPr>
                      <w:b/>
                      <w:color w:val="auto"/>
                    </w:rPr>
                    <w:t>声源</w:t>
                  </w:r>
                </w:p>
                <w:p>
                  <w:pPr>
                    <w:snapToGrid w:val="0"/>
                    <w:jc w:val="center"/>
                    <w:rPr>
                      <w:b/>
                      <w:color w:val="auto"/>
                    </w:rPr>
                  </w:pPr>
                  <w:r>
                    <w:rPr>
                      <w:b/>
                      <w:color w:val="auto"/>
                    </w:rPr>
                    <w:t>名称</w:t>
                  </w:r>
                </w:p>
              </w:tc>
              <w:tc>
                <w:tcPr>
                  <w:tcW w:w="261" w:type="pct"/>
                  <w:vMerge w:val="restart"/>
                  <w:noWrap w:val="0"/>
                  <w:vAlign w:val="center"/>
                </w:tcPr>
                <w:p>
                  <w:pPr>
                    <w:snapToGrid w:val="0"/>
                    <w:jc w:val="center"/>
                    <w:rPr>
                      <w:b/>
                      <w:color w:val="auto"/>
                    </w:rPr>
                  </w:pPr>
                  <w:r>
                    <w:rPr>
                      <w:b/>
                      <w:color w:val="auto"/>
                    </w:rPr>
                    <w:t>型号</w:t>
                  </w:r>
                </w:p>
              </w:tc>
              <w:tc>
                <w:tcPr>
                  <w:tcW w:w="347" w:type="pct"/>
                  <w:vMerge w:val="restart"/>
                  <w:noWrap w:val="0"/>
                  <w:vAlign w:val="center"/>
                </w:tcPr>
                <w:p>
                  <w:pPr>
                    <w:snapToGrid w:val="0"/>
                    <w:jc w:val="center"/>
                    <w:rPr>
                      <w:b/>
                      <w:color w:val="auto"/>
                      <w:kern w:val="2"/>
                      <w:sz w:val="21"/>
                      <w:szCs w:val="21"/>
                      <w:lang w:val="en-US" w:eastAsia="zh-CN" w:bidi="ar-SA"/>
                    </w:rPr>
                  </w:pPr>
                  <w:r>
                    <w:rPr>
                      <w:b/>
                      <w:color w:val="auto"/>
                    </w:rPr>
                    <w:t>声源控制措施</w:t>
                  </w:r>
                </w:p>
              </w:tc>
              <w:tc>
                <w:tcPr>
                  <w:tcW w:w="453" w:type="pct"/>
                  <w:noWrap w:val="0"/>
                  <w:vAlign w:val="center"/>
                </w:tcPr>
                <w:p>
                  <w:pPr>
                    <w:snapToGrid w:val="0"/>
                    <w:jc w:val="center"/>
                    <w:rPr>
                      <w:b/>
                      <w:color w:val="auto"/>
                      <w:kern w:val="2"/>
                      <w:sz w:val="21"/>
                      <w:szCs w:val="21"/>
                      <w:lang w:val="en-US" w:eastAsia="zh-CN" w:bidi="ar-SA"/>
                    </w:rPr>
                  </w:pPr>
                  <w:r>
                    <w:rPr>
                      <w:b/>
                      <w:color w:val="auto"/>
                    </w:rPr>
                    <w:t>声源源强</w:t>
                  </w:r>
                </w:p>
              </w:tc>
              <w:tc>
                <w:tcPr>
                  <w:tcW w:w="817" w:type="pct"/>
                  <w:gridSpan w:val="3"/>
                  <w:noWrap w:val="0"/>
                  <w:vAlign w:val="center"/>
                </w:tcPr>
                <w:p>
                  <w:pPr>
                    <w:snapToGrid w:val="0"/>
                    <w:jc w:val="center"/>
                    <w:rPr>
                      <w:b/>
                      <w:color w:val="auto"/>
                    </w:rPr>
                  </w:pPr>
                  <w:r>
                    <w:rPr>
                      <w:b/>
                      <w:color w:val="auto"/>
                    </w:rPr>
                    <w:t>空间相对位置/m</w:t>
                  </w:r>
                </w:p>
              </w:tc>
              <w:tc>
                <w:tcPr>
                  <w:tcW w:w="337" w:type="pct"/>
                  <w:vMerge w:val="restart"/>
                  <w:noWrap w:val="0"/>
                  <w:vAlign w:val="center"/>
                </w:tcPr>
                <w:p>
                  <w:pPr>
                    <w:snapToGrid w:val="0"/>
                    <w:jc w:val="center"/>
                    <w:rPr>
                      <w:b/>
                      <w:color w:val="auto"/>
                    </w:rPr>
                  </w:pPr>
                  <w:r>
                    <w:rPr>
                      <w:b/>
                      <w:color w:val="auto"/>
                    </w:rPr>
                    <w:t>距离内边界距离/m</w:t>
                  </w:r>
                </w:p>
              </w:tc>
              <w:tc>
                <w:tcPr>
                  <w:tcW w:w="373" w:type="pct"/>
                  <w:vMerge w:val="restart"/>
                  <w:noWrap w:val="0"/>
                  <w:vAlign w:val="center"/>
                </w:tcPr>
                <w:p>
                  <w:pPr>
                    <w:snapToGrid w:val="0"/>
                    <w:jc w:val="center"/>
                    <w:rPr>
                      <w:b/>
                      <w:color w:val="auto"/>
                    </w:rPr>
                  </w:pPr>
                  <w:r>
                    <w:rPr>
                      <w:b/>
                      <w:color w:val="auto"/>
                    </w:rPr>
                    <w:t>室内边界声级/dB(A)</w:t>
                  </w:r>
                </w:p>
              </w:tc>
              <w:tc>
                <w:tcPr>
                  <w:tcW w:w="239" w:type="pct"/>
                  <w:vMerge w:val="restart"/>
                  <w:noWrap w:val="0"/>
                  <w:vAlign w:val="center"/>
                </w:tcPr>
                <w:p>
                  <w:pPr>
                    <w:snapToGrid w:val="0"/>
                    <w:jc w:val="center"/>
                    <w:rPr>
                      <w:b/>
                      <w:color w:val="auto"/>
                    </w:rPr>
                  </w:pPr>
                  <w:r>
                    <w:rPr>
                      <w:b/>
                      <w:color w:val="auto"/>
                    </w:rPr>
                    <w:t>运行时段</w:t>
                  </w:r>
                </w:p>
              </w:tc>
              <w:tc>
                <w:tcPr>
                  <w:tcW w:w="373" w:type="pct"/>
                  <w:vMerge w:val="restart"/>
                  <w:noWrap w:val="0"/>
                  <w:vAlign w:val="center"/>
                </w:tcPr>
                <w:p>
                  <w:pPr>
                    <w:snapToGrid w:val="0"/>
                    <w:jc w:val="center"/>
                    <w:rPr>
                      <w:b/>
                      <w:color w:val="auto"/>
                    </w:rPr>
                  </w:pPr>
                  <w:r>
                    <w:rPr>
                      <w:b/>
                      <w:color w:val="auto"/>
                    </w:rPr>
                    <w:t>建筑物损失/dB(A)</w:t>
                  </w:r>
                </w:p>
              </w:tc>
              <w:tc>
                <w:tcPr>
                  <w:tcW w:w="863" w:type="pct"/>
                  <w:gridSpan w:val="2"/>
                  <w:noWrap w:val="0"/>
                  <w:vAlign w:val="center"/>
                </w:tcPr>
                <w:p>
                  <w:pPr>
                    <w:snapToGrid w:val="0"/>
                    <w:jc w:val="center"/>
                    <w:rPr>
                      <w:b/>
                      <w:color w:val="auto"/>
                    </w:rPr>
                  </w:pPr>
                  <w:r>
                    <w:rPr>
                      <w:b/>
                      <w:color w:val="auto"/>
                    </w:rPr>
                    <w:t>建筑物外</w:t>
                  </w:r>
                </w:p>
                <w:p>
                  <w:pPr>
                    <w:snapToGrid w:val="0"/>
                    <w:jc w:val="center"/>
                    <w:rPr>
                      <w:b/>
                      <w:color w:val="auto"/>
                    </w:rPr>
                  </w:pPr>
                  <w:r>
                    <w:rPr>
                      <w:b/>
                      <w:color w:val="auto"/>
                    </w:rPr>
                    <w:t>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278" w:type="pct"/>
                  <w:vMerge w:val="continue"/>
                  <w:noWrap w:val="0"/>
                  <w:vAlign w:val="center"/>
                </w:tcPr>
                <w:p>
                  <w:pPr>
                    <w:snapToGrid w:val="0"/>
                    <w:jc w:val="center"/>
                    <w:rPr>
                      <w:b/>
                      <w:color w:val="auto"/>
                    </w:rPr>
                  </w:pPr>
                </w:p>
              </w:tc>
              <w:tc>
                <w:tcPr>
                  <w:tcW w:w="656" w:type="pct"/>
                  <w:vMerge w:val="continue"/>
                  <w:noWrap w:val="0"/>
                  <w:vAlign w:val="center"/>
                </w:tcPr>
                <w:p>
                  <w:pPr>
                    <w:snapToGrid w:val="0"/>
                    <w:jc w:val="center"/>
                    <w:rPr>
                      <w:b/>
                      <w:color w:val="auto"/>
                    </w:rPr>
                  </w:pPr>
                </w:p>
              </w:tc>
              <w:tc>
                <w:tcPr>
                  <w:tcW w:w="261" w:type="pct"/>
                  <w:vMerge w:val="continue"/>
                  <w:noWrap w:val="0"/>
                  <w:vAlign w:val="center"/>
                </w:tcPr>
                <w:p>
                  <w:pPr>
                    <w:snapToGrid w:val="0"/>
                    <w:jc w:val="center"/>
                    <w:rPr>
                      <w:b/>
                      <w:color w:val="auto"/>
                    </w:rPr>
                  </w:pPr>
                </w:p>
              </w:tc>
              <w:tc>
                <w:tcPr>
                  <w:tcW w:w="347" w:type="pct"/>
                  <w:vMerge w:val="continue"/>
                  <w:noWrap w:val="0"/>
                  <w:vAlign w:val="center"/>
                </w:tcPr>
                <w:p>
                  <w:pPr>
                    <w:snapToGrid w:val="0"/>
                    <w:jc w:val="center"/>
                    <w:rPr>
                      <w:color w:val="auto"/>
                    </w:rPr>
                  </w:pPr>
                </w:p>
              </w:tc>
              <w:tc>
                <w:tcPr>
                  <w:tcW w:w="453" w:type="pct"/>
                  <w:noWrap w:val="0"/>
                  <w:vAlign w:val="center"/>
                </w:tcPr>
                <w:p>
                  <w:pPr>
                    <w:snapToGrid w:val="0"/>
                    <w:jc w:val="center"/>
                    <w:rPr>
                      <w:b/>
                      <w:color w:val="auto"/>
                      <w:kern w:val="2"/>
                      <w:sz w:val="21"/>
                      <w:szCs w:val="21"/>
                      <w:lang w:val="en-US" w:eastAsia="zh-CN" w:bidi="ar-SA"/>
                    </w:rPr>
                  </w:pPr>
                  <w:r>
                    <w:rPr>
                      <w:b/>
                      <w:bCs/>
                      <w:color w:val="auto"/>
                    </w:rPr>
                    <w:t>声功率级/dB(A)</w:t>
                  </w:r>
                </w:p>
              </w:tc>
              <w:tc>
                <w:tcPr>
                  <w:tcW w:w="270" w:type="pct"/>
                  <w:noWrap w:val="0"/>
                  <w:vAlign w:val="center"/>
                </w:tcPr>
                <w:p>
                  <w:pPr>
                    <w:snapToGrid w:val="0"/>
                    <w:jc w:val="center"/>
                    <w:rPr>
                      <w:b/>
                      <w:color w:val="auto"/>
                    </w:rPr>
                  </w:pPr>
                  <w:r>
                    <w:rPr>
                      <w:b/>
                      <w:color w:val="auto"/>
                    </w:rPr>
                    <w:t>X</w:t>
                  </w:r>
                </w:p>
              </w:tc>
              <w:tc>
                <w:tcPr>
                  <w:tcW w:w="298" w:type="pct"/>
                  <w:noWrap w:val="0"/>
                  <w:vAlign w:val="center"/>
                </w:tcPr>
                <w:p>
                  <w:pPr>
                    <w:snapToGrid w:val="0"/>
                    <w:jc w:val="center"/>
                    <w:rPr>
                      <w:b/>
                      <w:color w:val="auto"/>
                    </w:rPr>
                  </w:pPr>
                  <w:r>
                    <w:rPr>
                      <w:b/>
                      <w:color w:val="auto"/>
                    </w:rPr>
                    <w:t>Y</w:t>
                  </w:r>
                </w:p>
              </w:tc>
              <w:tc>
                <w:tcPr>
                  <w:tcW w:w="248" w:type="pct"/>
                  <w:noWrap w:val="0"/>
                  <w:vAlign w:val="center"/>
                </w:tcPr>
                <w:p>
                  <w:pPr>
                    <w:snapToGrid w:val="0"/>
                    <w:jc w:val="center"/>
                    <w:rPr>
                      <w:b/>
                      <w:color w:val="auto"/>
                    </w:rPr>
                  </w:pPr>
                  <w:r>
                    <w:rPr>
                      <w:b/>
                      <w:color w:val="auto"/>
                    </w:rPr>
                    <w:t>Z</w:t>
                  </w:r>
                </w:p>
              </w:tc>
              <w:tc>
                <w:tcPr>
                  <w:tcW w:w="337" w:type="pct"/>
                  <w:vMerge w:val="continue"/>
                  <w:noWrap w:val="0"/>
                  <w:vAlign w:val="center"/>
                </w:tcPr>
                <w:p>
                  <w:pPr>
                    <w:snapToGrid w:val="0"/>
                    <w:jc w:val="center"/>
                    <w:rPr>
                      <w:b/>
                      <w:color w:val="auto"/>
                    </w:rPr>
                  </w:pPr>
                </w:p>
              </w:tc>
              <w:tc>
                <w:tcPr>
                  <w:tcW w:w="373" w:type="pct"/>
                  <w:vMerge w:val="continue"/>
                  <w:noWrap w:val="0"/>
                  <w:vAlign w:val="center"/>
                </w:tcPr>
                <w:p>
                  <w:pPr>
                    <w:snapToGrid w:val="0"/>
                    <w:jc w:val="center"/>
                    <w:rPr>
                      <w:b/>
                      <w:color w:val="auto"/>
                    </w:rPr>
                  </w:pPr>
                </w:p>
              </w:tc>
              <w:tc>
                <w:tcPr>
                  <w:tcW w:w="239" w:type="pct"/>
                  <w:vMerge w:val="continue"/>
                  <w:noWrap w:val="0"/>
                  <w:vAlign w:val="center"/>
                </w:tcPr>
                <w:p>
                  <w:pPr>
                    <w:snapToGrid w:val="0"/>
                    <w:jc w:val="center"/>
                    <w:rPr>
                      <w:b/>
                      <w:color w:val="auto"/>
                    </w:rPr>
                  </w:pPr>
                </w:p>
              </w:tc>
              <w:tc>
                <w:tcPr>
                  <w:tcW w:w="373" w:type="pct"/>
                  <w:vMerge w:val="continue"/>
                  <w:noWrap w:val="0"/>
                  <w:vAlign w:val="center"/>
                </w:tcPr>
                <w:p>
                  <w:pPr>
                    <w:snapToGrid w:val="0"/>
                    <w:jc w:val="center"/>
                    <w:rPr>
                      <w:b/>
                      <w:color w:val="auto"/>
                    </w:rPr>
                  </w:pPr>
                </w:p>
              </w:tc>
              <w:tc>
                <w:tcPr>
                  <w:tcW w:w="405" w:type="pct"/>
                  <w:noWrap w:val="0"/>
                  <w:vAlign w:val="center"/>
                </w:tcPr>
                <w:p>
                  <w:pPr>
                    <w:snapToGrid w:val="0"/>
                    <w:jc w:val="center"/>
                    <w:rPr>
                      <w:b/>
                      <w:color w:val="auto"/>
                    </w:rPr>
                  </w:pPr>
                  <w:r>
                    <w:rPr>
                      <w:b/>
                      <w:color w:val="auto"/>
                    </w:rPr>
                    <w:t>声压级/</w:t>
                  </w:r>
                  <w:r>
                    <w:rPr>
                      <w:b/>
                      <w:bCs/>
                      <w:color w:val="auto"/>
                    </w:rPr>
                    <w:t>dB(A)</w:t>
                  </w:r>
                </w:p>
              </w:tc>
              <w:tc>
                <w:tcPr>
                  <w:tcW w:w="458" w:type="pct"/>
                  <w:noWrap w:val="0"/>
                  <w:vAlign w:val="center"/>
                </w:tcPr>
                <w:p>
                  <w:pPr>
                    <w:snapToGrid w:val="0"/>
                    <w:jc w:val="center"/>
                    <w:rPr>
                      <w:b/>
                      <w:color w:val="auto"/>
                    </w:rPr>
                  </w:pPr>
                  <w:r>
                    <w:rPr>
                      <w:b/>
                      <w:color w:val="auto"/>
                    </w:rPr>
                    <w:t>建筑物外距离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278" w:type="pct"/>
                  <w:vMerge w:val="restart"/>
                  <w:noWrap w:val="0"/>
                  <w:vAlign w:val="center"/>
                </w:tcPr>
                <w:p>
                  <w:pPr>
                    <w:snapToGrid w:val="0"/>
                    <w:jc w:val="center"/>
                    <w:rPr>
                      <w:rFonts w:hint="default" w:eastAsia="宋体"/>
                      <w:color w:val="auto"/>
                      <w:lang w:val="en-US" w:eastAsia="zh-CN"/>
                    </w:rPr>
                  </w:pPr>
                  <w:r>
                    <w:rPr>
                      <w:rFonts w:hint="default" w:eastAsia="宋体"/>
                      <w:color w:val="auto"/>
                      <w:lang w:val="en-US" w:eastAsia="zh-CN"/>
                    </w:rPr>
                    <w:t>蜂蜜加工包装车间建设工程</w:t>
                  </w:r>
                </w:p>
              </w:tc>
              <w:tc>
                <w:tcPr>
                  <w:tcW w:w="656" w:type="pct"/>
                  <w:shd w:val="clear" w:color="auto" w:fill="auto"/>
                  <w:noWrap w:val="0"/>
                  <w:vAlign w:val="center"/>
                </w:tcPr>
                <w:p>
                  <w:pPr>
                    <w:pStyle w:val="65"/>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zh-CN"/>
                    </w:rPr>
                  </w:pPr>
                  <w:r>
                    <w:rPr>
                      <w:rFonts w:hint="eastAsia" w:eastAsia="宋体" w:cs="Times New Roman"/>
                      <w:color w:val="auto"/>
                      <w:sz w:val="21"/>
                      <w:szCs w:val="21"/>
                      <w:u w:val="none" w:color="auto"/>
                      <w:lang w:val="en-US" w:eastAsia="zh-CN"/>
                    </w:rPr>
                    <w:t>自动拌料机</w:t>
                  </w:r>
                </w:p>
              </w:tc>
              <w:tc>
                <w:tcPr>
                  <w:tcW w:w="261" w:type="pct"/>
                  <w:noWrap w:val="0"/>
                  <w:vAlign w:val="center"/>
                </w:tcPr>
                <w:p>
                  <w:pPr>
                    <w:adjustRightInd w:val="0"/>
                    <w:snapToGrid w:val="0"/>
                    <w:jc w:val="center"/>
                    <w:rPr>
                      <w:bCs/>
                      <w:snapToGrid w:val="0"/>
                      <w:color w:val="auto"/>
                      <w:kern w:val="0"/>
                    </w:rPr>
                  </w:pPr>
                  <w:r>
                    <w:rPr>
                      <w:rFonts w:hint="eastAsia"/>
                      <w:color w:val="auto"/>
                    </w:rPr>
                    <w:t>/</w:t>
                  </w:r>
                </w:p>
              </w:tc>
              <w:tc>
                <w:tcPr>
                  <w:tcW w:w="347" w:type="pct"/>
                  <w:vMerge w:val="restart"/>
                  <w:noWrap w:val="0"/>
                  <w:vAlign w:val="center"/>
                </w:tcPr>
                <w:p>
                  <w:pPr>
                    <w:snapToGrid w:val="0"/>
                    <w:jc w:val="center"/>
                    <w:rPr>
                      <w:color w:val="auto"/>
                      <w:kern w:val="2"/>
                      <w:sz w:val="21"/>
                      <w:szCs w:val="21"/>
                      <w:lang w:val="en-US" w:eastAsia="zh-CN" w:bidi="ar-SA"/>
                    </w:rPr>
                  </w:pPr>
                  <w:r>
                    <w:rPr>
                      <w:color w:val="auto"/>
                    </w:rPr>
                    <w:t>减振、车间隔声</w:t>
                  </w:r>
                </w:p>
              </w:tc>
              <w:tc>
                <w:tcPr>
                  <w:tcW w:w="453" w:type="pct"/>
                  <w:noWrap w:val="0"/>
                  <w:vAlign w:val="center"/>
                </w:tcPr>
                <w:p>
                  <w:pPr>
                    <w:snapToGrid w:val="0"/>
                    <w:jc w:val="center"/>
                    <w:rPr>
                      <w:rFonts w:hint="default" w:eastAsia="宋体"/>
                      <w:bCs/>
                      <w:snapToGrid w:val="0"/>
                      <w:color w:val="auto"/>
                      <w:kern w:val="0"/>
                      <w:sz w:val="21"/>
                      <w:szCs w:val="21"/>
                      <w:lang w:val="en-US" w:eastAsia="zh-CN" w:bidi="ar-SA"/>
                    </w:rPr>
                  </w:pPr>
                  <w:r>
                    <w:rPr>
                      <w:rFonts w:hint="eastAsia"/>
                      <w:bCs/>
                      <w:snapToGrid w:val="0"/>
                      <w:color w:val="auto"/>
                      <w:kern w:val="0"/>
                      <w:lang w:val="en-US" w:eastAsia="zh-CN"/>
                    </w:rPr>
                    <w:t>79</w:t>
                  </w:r>
                </w:p>
              </w:tc>
              <w:tc>
                <w:tcPr>
                  <w:tcW w:w="270" w:type="pct"/>
                  <w:noWrap w:val="0"/>
                  <w:vAlign w:val="center"/>
                </w:tcPr>
                <w:p>
                  <w:pPr>
                    <w:snapToGrid w:val="0"/>
                    <w:jc w:val="center"/>
                    <w:rPr>
                      <w:color w:val="auto"/>
                    </w:rPr>
                  </w:pPr>
                  <w:r>
                    <w:rPr>
                      <w:rFonts w:hint="eastAsia"/>
                      <w:color w:val="auto"/>
                    </w:rPr>
                    <w:t>5</w:t>
                  </w:r>
                </w:p>
              </w:tc>
              <w:tc>
                <w:tcPr>
                  <w:tcW w:w="298" w:type="pct"/>
                  <w:noWrap w:val="0"/>
                  <w:vAlign w:val="center"/>
                </w:tcPr>
                <w:p>
                  <w:pPr>
                    <w:snapToGrid w:val="0"/>
                    <w:jc w:val="center"/>
                    <w:rPr>
                      <w:color w:val="auto"/>
                    </w:rPr>
                  </w:pPr>
                  <w:r>
                    <w:rPr>
                      <w:rFonts w:hint="eastAsia"/>
                      <w:color w:val="auto"/>
                    </w:rPr>
                    <w:t>90</w:t>
                  </w:r>
                </w:p>
              </w:tc>
              <w:tc>
                <w:tcPr>
                  <w:tcW w:w="248" w:type="pct"/>
                  <w:noWrap w:val="0"/>
                  <w:vAlign w:val="center"/>
                </w:tcPr>
                <w:p>
                  <w:pPr>
                    <w:snapToGrid w:val="0"/>
                    <w:jc w:val="center"/>
                    <w:rPr>
                      <w:rFonts w:hint="eastAsia"/>
                      <w:color w:val="auto"/>
                    </w:rPr>
                  </w:pPr>
                  <w:r>
                    <w:rPr>
                      <w:rFonts w:hint="eastAsia"/>
                      <w:color w:val="auto"/>
                    </w:rPr>
                    <w:t>2</w:t>
                  </w:r>
                </w:p>
              </w:tc>
              <w:tc>
                <w:tcPr>
                  <w:tcW w:w="337" w:type="pct"/>
                  <w:noWrap w:val="0"/>
                  <w:vAlign w:val="center"/>
                </w:tcPr>
                <w:p>
                  <w:pPr>
                    <w:snapToGrid w:val="0"/>
                    <w:jc w:val="center"/>
                    <w:rPr>
                      <w:color w:val="auto"/>
                    </w:rPr>
                  </w:pPr>
                  <w:r>
                    <w:rPr>
                      <w:rFonts w:hint="eastAsia"/>
                      <w:color w:val="auto"/>
                    </w:rPr>
                    <w:t>5</w:t>
                  </w:r>
                </w:p>
              </w:tc>
              <w:tc>
                <w:tcPr>
                  <w:tcW w:w="373" w:type="pct"/>
                  <w:noWrap w:val="0"/>
                  <w:vAlign w:val="center"/>
                </w:tcPr>
                <w:p>
                  <w:pPr>
                    <w:snapToGrid w:val="0"/>
                    <w:jc w:val="center"/>
                    <w:rPr>
                      <w:rFonts w:hint="default" w:eastAsia="宋体"/>
                      <w:color w:val="auto"/>
                      <w:lang w:val="en-US" w:eastAsia="zh-CN"/>
                    </w:rPr>
                  </w:pPr>
                  <w:r>
                    <w:rPr>
                      <w:rFonts w:hint="eastAsia"/>
                      <w:color w:val="auto"/>
                      <w:lang w:val="en-US" w:eastAsia="zh-CN"/>
                    </w:rPr>
                    <w:t>63</w:t>
                  </w:r>
                </w:p>
              </w:tc>
              <w:tc>
                <w:tcPr>
                  <w:tcW w:w="239" w:type="pct"/>
                  <w:noWrap w:val="0"/>
                  <w:vAlign w:val="center"/>
                </w:tcPr>
                <w:p>
                  <w:pPr>
                    <w:snapToGrid w:val="0"/>
                    <w:jc w:val="center"/>
                    <w:rPr>
                      <w:rFonts w:hint="eastAsia"/>
                      <w:color w:val="auto"/>
                    </w:rPr>
                  </w:pPr>
                  <w:r>
                    <w:rPr>
                      <w:rFonts w:hint="eastAsia"/>
                      <w:color w:val="auto"/>
                      <w:lang w:val="en-US" w:eastAsia="zh-CN"/>
                    </w:rPr>
                    <w:t>10</w:t>
                  </w:r>
                  <w:r>
                    <w:rPr>
                      <w:rFonts w:hint="eastAsia"/>
                      <w:color w:val="auto"/>
                    </w:rPr>
                    <w:t>h</w:t>
                  </w:r>
                </w:p>
              </w:tc>
              <w:tc>
                <w:tcPr>
                  <w:tcW w:w="373" w:type="pct"/>
                  <w:vMerge w:val="restart"/>
                  <w:noWrap w:val="0"/>
                  <w:vAlign w:val="center"/>
                </w:tcPr>
                <w:p>
                  <w:pPr>
                    <w:snapToGrid w:val="0"/>
                    <w:jc w:val="center"/>
                    <w:rPr>
                      <w:color w:val="auto"/>
                    </w:rPr>
                  </w:pPr>
                  <w:r>
                    <w:rPr>
                      <w:color w:val="auto"/>
                    </w:rPr>
                    <w:t>15</w:t>
                  </w:r>
                </w:p>
              </w:tc>
              <w:tc>
                <w:tcPr>
                  <w:tcW w:w="405" w:type="pct"/>
                  <w:vMerge w:val="restart"/>
                  <w:noWrap w:val="0"/>
                  <w:vAlign w:val="center"/>
                </w:tcPr>
                <w:p>
                  <w:pPr>
                    <w:snapToGrid w:val="0"/>
                    <w:jc w:val="center"/>
                    <w:rPr>
                      <w:rFonts w:hint="default" w:eastAsia="宋体"/>
                      <w:color w:val="auto"/>
                      <w:lang w:val="en-US" w:eastAsia="zh-CN"/>
                    </w:rPr>
                  </w:pPr>
                  <w:r>
                    <w:rPr>
                      <w:rFonts w:hint="eastAsia"/>
                      <w:color w:val="auto"/>
                      <w:lang w:val="en-US" w:eastAsia="zh-CN"/>
                    </w:rPr>
                    <w:t>48</w:t>
                  </w:r>
                </w:p>
              </w:tc>
              <w:tc>
                <w:tcPr>
                  <w:tcW w:w="458" w:type="pct"/>
                  <w:vMerge w:val="restart"/>
                  <w:noWrap w:val="0"/>
                  <w:vAlign w:val="center"/>
                </w:tcPr>
                <w:p>
                  <w:pPr>
                    <w:snapToGrid w:val="0"/>
                    <w:jc w:val="center"/>
                    <w:rPr>
                      <w:color w:val="auto"/>
                    </w:rPr>
                  </w:pPr>
                  <w:r>
                    <w:rPr>
                      <w:color w:val="auto"/>
                    </w:rPr>
                    <w:t>1m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278" w:type="pct"/>
                  <w:vMerge w:val="continue"/>
                  <w:noWrap w:val="0"/>
                  <w:vAlign w:val="center"/>
                </w:tcPr>
                <w:p>
                  <w:pPr>
                    <w:snapToGrid w:val="0"/>
                    <w:jc w:val="center"/>
                    <w:rPr>
                      <w:rFonts w:hint="eastAsia"/>
                      <w:color w:val="auto"/>
                    </w:rPr>
                  </w:pPr>
                </w:p>
              </w:tc>
              <w:tc>
                <w:tcPr>
                  <w:tcW w:w="656" w:type="pct"/>
                  <w:shd w:val="clear" w:color="auto" w:fill="auto"/>
                  <w:noWrap w:val="0"/>
                  <w:vAlign w:val="center"/>
                </w:tcPr>
                <w:p>
                  <w:pPr>
                    <w:pStyle w:val="65"/>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zh-CN"/>
                    </w:rPr>
                  </w:pPr>
                  <w:r>
                    <w:rPr>
                      <w:rFonts w:hint="eastAsia" w:eastAsia="宋体" w:cs="Times New Roman"/>
                      <w:color w:val="auto"/>
                      <w:kern w:val="2"/>
                      <w:sz w:val="21"/>
                      <w:szCs w:val="21"/>
                      <w:u w:val="none" w:color="auto"/>
                      <w:lang w:val="en-US" w:eastAsia="zh-CN" w:bidi="zh-CN"/>
                    </w:rPr>
                    <w:t>包装机</w:t>
                  </w:r>
                </w:p>
              </w:tc>
              <w:tc>
                <w:tcPr>
                  <w:tcW w:w="261" w:type="pct"/>
                  <w:noWrap w:val="0"/>
                  <w:vAlign w:val="center"/>
                </w:tcPr>
                <w:p>
                  <w:pPr>
                    <w:adjustRightInd w:val="0"/>
                    <w:snapToGrid w:val="0"/>
                    <w:jc w:val="center"/>
                    <w:rPr>
                      <w:bCs/>
                      <w:snapToGrid w:val="0"/>
                      <w:color w:val="auto"/>
                      <w:kern w:val="0"/>
                    </w:rPr>
                  </w:pPr>
                  <w:r>
                    <w:rPr>
                      <w:rFonts w:hint="eastAsia"/>
                      <w:color w:val="auto"/>
                    </w:rPr>
                    <w:t>/</w:t>
                  </w:r>
                </w:p>
              </w:tc>
              <w:tc>
                <w:tcPr>
                  <w:tcW w:w="347" w:type="pct"/>
                  <w:vMerge w:val="continue"/>
                  <w:noWrap w:val="0"/>
                  <w:vAlign w:val="center"/>
                </w:tcPr>
                <w:p>
                  <w:pPr>
                    <w:snapToGrid w:val="0"/>
                    <w:jc w:val="center"/>
                    <w:rPr>
                      <w:color w:val="auto"/>
                    </w:rPr>
                  </w:pPr>
                </w:p>
              </w:tc>
              <w:tc>
                <w:tcPr>
                  <w:tcW w:w="453" w:type="pct"/>
                  <w:noWrap w:val="0"/>
                  <w:vAlign w:val="center"/>
                </w:tcPr>
                <w:p>
                  <w:pPr>
                    <w:snapToGrid w:val="0"/>
                    <w:jc w:val="center"/>
                    <w:rPr>
                      <w:rFonts w:hint="default" w:eastAsia="宋体"/>
                      <w:bCs/>
                      <w:snapToGrid w:val="0"/>
                      <w:color w:val="auto"/>
                      <w:kern w:val="0"/>
                      <w:sz w:val="21"/>
                      <w:szCs w:val="21"/>
                      <w:lang w:val="en-US" w:eastAsia="zh-CN" w:bidi="ar-SA"/>
                    </w:rPr>
                  </w:pPr>
                  <w:r>
                    <w:rPr>
                      <w:rFonts w:hint="eastAsia"/>
                      <w:bCs/>
                      <w:snapToGrid w:val="0"/>
                      <w:color w:val="auto"/>
                      <w:kern w:val="0"/>
                      <w:lang w:val="en-US" w:eastAsia="zh-CN"/>
                    </w:rPr>
                    <w:t>75</w:t>
                  </w:r>
                </w:p>
              </w:tc>
              <w:tc>
                <w:tcPr>
                  <w:tcW w:w="270" w:type="pct"/>
                  <w:noWrap w:val="0"/>
                  <w:vAlign w:val="center"/>
                </w:tcPr>
                <w:p>
                  <w:pPr>
                    <w:snapToGrid w:val="0"/>
                    <w:jc w:val="center"/>
                    <w:rPr>
                      <w:color w:val="auto"/>
                    </w:rPr>
                  </w:pPr>
                  <w:r>
                    <w:rPr>
                      <w:rFonts w:hint="eastAsia"/>
                      <w:color w:val="auto"/>
                    </w:rPr>
                    <w:t>15</w:t>
                  </w:r>
                </w:p>
              </w:tc>
              <w:tc>
                <w:tcPr>
                  <w:tcW w:w="298" w:type="pct"/>
                  <w:noWrap w:val="0"/>
                  <w:vAlign w:val="center"/>
                </w:tcPr>
                <w:p>
                  <w:pPr>
                    <w:snapToGrid w:val="0"/>
                    <w:jc w:val="center"/>
                    <w:rPr>
                      <w:color w:val="auto"/>
                    </w:rPr>
                  </w:pPr>
                  <w:r>
                    <w:rPr>
                      <w:rFonts w:hint="eastAsia"/>
                      <w:color w:val="auto"/>
                    </w:rPr>
                    <w:t>90</w:t>
                  </w:r>
                </w:p>
              </w:tc>
              <w:tc>
                <w:tcPr>
                  <w:tcW w:w="248" w:type="pct"/>
                  <w:noWrap w:val="0"/>
                  <w:vAlign w:val="center"/>
                </w:tcPr>
                <w:p>
                  <w:pPr>
                    <w:snapToGrid w:val="0"/>
                    <w:jc w:val="center"/>
                    <w:rPr>
                      <w:rFonts w:hint="eastAsia"/>
                      <w:color w:val="auto"/>
                    </w:rPr>
                  </w:pPr>
                  <w:r>
                    <w:rPr>
                      <w:rFonts w:hint="eastAsia"/>
                      <w:color w:val="auto"/>
                    </w:rPr>
                    <w:t>2</w:t>
                  </w:r>
                </w:p>
              </w:tc>
              <w:tc>
                <w:tcPr>
                  <w:tcW w:w="337" w:type="pct"/>
                  <w:noWrap w:val="0"/>
                  <w:vAlign w:val="center"/>
                </w:tcPr>
                <w:p>
                  <w:pPr>
                    <w:snapToGrid w:val="0"/>
                    <w:jc w:val="center"/>
                    <w:rPr>
                      <w:color w:val="auto"/>
                    </w:rPr>
                  </w:pPr>
                  <w:r>
                    <w:rPr>
                      <w:rFonts w:hint="eastAsia"/>
                      <w:color w:val="auto"/>
                    </w:rPr>
                    <w:t>12</w:t>
                  </w:r>
                </w:p>
              </w:tc>
              <w:tc>
                <w:tcPr>
                  <w:tcW w:w="373" w:type="pct"/>
                  <w:noWrap w:val="0"/>
                  <w:vAlign w:val="center"/>
                </w:tcPr>
                <w:p>
                  <w:pPr>
                    <w:snapToGrid w:val="0"/>
                    <w:jc w:val="center"/>
                    <w:rPr>
                      <w:color w:val="auto"/>
                    </w:rPr>
                  </w:pPr>
                  <w:r>
                    <w:rPr>
                      <w:rFonts w:hint="eastAsia"/>
                      <w:color w:val="auto"/>
                    </w:rPr>
                    <w:t>63</w:t>
                  </w:r>
                </w:p>
              </w:tc>
              <w:tc>
                <w:tcPr>
                  <w:tcW w:w="239" w:type="pct"/>
                  <w:noWrap w:val="0"/>
                  <w:vAlign w:val="center"/>
                </w:tcPr>
                <w:p>
                  <w:pPr>
                    <w:snapToGrid w:val="0"/>
                    <w:jc w:val="center"/>
                    <w:rPr>
                      <w:rFonts w:hint="eastAsia"/>
                      <w:color w:val="auto"/>
                    </w:rPr>
                  </w:pPr>
                  <w:r>
                    <w:rPr>
                      <w:rFonts w:hint="eastAsia"/>
                      <w:color w:val="auto"/>
                      <w:lang w:val="en-US" w:eastAsia="zh-CN"/>
                    </w:rPr>
                    <w:t>10</w:t>
                  </w:r>
                  <w:r>
                    <w:rPr>
                      <w:rFonts w:hint="eastAsia"/>
                      <w:color w:val="auto"/>
                    </w:rPr>
                    <w:t>h</w:t>
                  </w:r>
                </w:p>
              </w:tc>
              <w:tc>
                <w:tcPr>
                  <w:tcW w:w="373" w:type="pct"/>
                  <w:vMerge w:val="continue"/>
                  <w:noWrap w:val="0"/>
                  <w:vAlign w:val="center"/>
                </w:tcPr>
                <w:p>
                  <w:pPr>
                    <w:snapToGrid w:val="0"/>
                    <w:jc w:val="center"/>
                    <w:rPr>
                      <w:color w:val="auto"/>
                    </w:rPr>
                  </w:pPr>
                </w:p>
              </w:tc>
              <w:tc>
                <w:tcPr>
                  <w:tcW w:w="405" w:type="pct"/>
                  <w:vMerge w:val="continue"/>
                  <w:noWrap w:val="0"/>
                  <w:vAlign w:val="center"/>
                </w:tcPr>
                <w:p>
                  <w:pPr>
                    <w:snapToGrid w:val="0"/>
                    <w:jc w:val="center"/>
                    <w:rPr>
                      <w:color w:val="auto"/>
                    </w:rPr>
                  </w:pPr>
                </w:p>
              </w:tc>
              <w:tc>
                <w:tcPr>
                  <w:tcW w:w="458" w:type="pct"/>
                  <w:vMerge w:val="continue"/>
                  <w:noWrap w:val="0"/>
                  <w:vAlign w:val="center"/>
                </w:tcPr>
                <w:p>
                  <w:pPr>
                    <w:snapToGrid w:val="0"/>
                    <w:jc w:val="center"/>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278" w:type="pct"/>
                  <w:vMerge w:val="continue"/>
                  <w:noWrap w:val="0"/>
                  <w:vAlign w:val="center"/>
                </w:tcPr>
                <w:p>
                  <w:pPr>
                    <w:snapToGrid w:val="0"/>
                    <w:jc w:val="center"/>
                    <w:rPr>
                      <w:rFonts w:hint="eastAsia"/>
                      <w:color w:val="auto"/>
                    </w:rPr>
                  </w:pPr>
                </w:p>
              </w:tc>
              <w:tc>
                <w:tcPr>
                  <w:tcW w:w="656" w:type="pct"/>
                  <w:shd w:val="clear" w:color="auto" w:fill="auto"/>
                  <w:noWrap w:val="0"/>
                  <w:vAlign w:val="center"/>
                </w:tcPr>
                <w:p>
                  <w:pPr>
                    <w:pStyle w:val="65"/>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u w:val="none" w:color="auto"/>
                      <w:lang w:val="zh-CN" w:eastAsia="zh-CN" w:bidi="zh-CN"/>
                    </w:rPr>
                  </w:pPr>
                  <w:r>
                    <w:rPr>
                      <w:rFonts w:hint="default" w:ascii="Times New Roman" w:hAnsi="Times New Roman" w:eastAsia="宋体" w:cs="Times New Roman"/>
                      <w:color w:val="auto"/>
                      <w:sz w:val="21"/>
                      <w:szCs w:val="21"/>
                      <w:u w:val="none" w:color="auto"/>
                      <w:lang w:val="en-US" w:eastAsia="zh-CN"/>
                    </w:rPr>
                    <w:t>皮带输送机</w:t>
                  </w:r>
                </w:p>
              </w:tc>
              <w:tc>
                <w:tcPr>
                  <w:tcW w:w="261" w:type="pct"/>
                  <w:noWrap w:val="0"/>
                  <w:vAlign w:val="center"/>
                </w:tcPr>
                <w:p>
                  <w:pPr>
                    <w:adjustRightInd w:val="0"/>
                    <w:snapToGrid w:val="0"/>
                    <w:jc w:val="center"/>
                    <w:rPr>
                      <w:color w:val="auto"/>
                    </w:rPr>
                  </w:pPr>
                  <w:r>
                    <w:rPr>
                      <w:rFonts w:hint="eastAsia"/>
                      <w:color w:val="auto"/>
                    </w:rPr>
                    <w:t>/</w:t>
                  </w:r>
                </w:p>
              </w:tc>
              <w:tc>
                <w:tcPr>
                  <w:tcW w:w="347" w:type="pct"/>
                  <w:vMerge w:val="continue"/>
                  <w:noWrap w:val="0"/>
                  <w:vAlign w:val="center"/>
                </w:tcPr>
                <w:p>
                  <w:pPr>
                    <w:snapToGrid w:val="0"/>
                    <w:jc w:val="center"/>
                    <w:rPr>
                      <w:color w:val="auto"/>
                    </w:rPr>
                  </w:pPr>
                </w:p>
              </w:tc>
              <w:tc>
                <w:tcPr>
                  <w:tcW w:w="453" w:type="pct"/>
                  <w:noWrap w:val="0"/>
                  <w:vAlign w:val="center"/>
                </w:tcPr>
                <w:p>
                  <w:pPr>
                    <w:snapToGrid w:val="0"/>
                    <w:jc w:val="center"/>
                    <w:rPr>
                      <w:rFonts w:hint="default" w:eastAsia="宋体"/>
                      <w:bCs/>
                      <w:snapToGrid w:val="0"/>
                      <w:color w:val="auto"/>
                      <w:kern w:val="0"/>
                      <w:sz w:val="21"/>
                      <w:szCs w:val="21"/>
                      <w:lang w:val="en-US" w:eastAsia="zh-CN" w:bidi="ar-SA"/>
                    </w:rPr>
                  </w:pPr>
                  <w:r>
                    <w:rPr>
                      <w:rFonts w:hint="eastAsia"/>
                      <w:bCs/>
                      <w:snapToGrid w:val="0"/>
                      <w:color w:val="auto"/>
                      <w:kern w:val="0"/>
                      <w:lang w:val="en-US" w:eastAsia="zh-CN"/>
                    </w:rPr>
                    <w:t>75</w:t>
                  </w:r>
                </w:p>
              </w:tc>
              <w:tc>
                <w:tcPr>
                  <w:tcW w:w="270" w:type="pct"/>
                  <w:noWrap w:val="0"/>
                  <w:vAlign w:val="center"/>
                </w:tcPr>
                <w:p>
                  <w:pPr>
                    <w:snapToGrid w:val="0"/>
                    <w:jc w:val="center"/>
                    <w:rPr>
                      <w:color w:val="auto"/>
                    </w:rPr>
                  </w:pPr>
                  <w:r>
                    <w:rPr>
                      <w:rFonts w:hint="eastAsia"/>
                      <w:color w:val="auto"/>
                    </w:rPr>
                    <w:t>35</w:t>
                  </w:r>
                </w:p>
              </w:tc>
              <w:tc>
                <w:tcPr>
                  <w:tcW w:w="298" w:type="pct"/>
                  <w:noWrap w:val="0"/>
                  <w:vAlign w:val="center"/>
                </w:tcPr>
                <w:p>
                  <w:pPr>
                    <w:snapToGrid w:val="0"/>
                    <w:jc w:val="center"/>
                    <w:rPr>
                      <w:color w:val="auto"/>
                    </w:rPr>
                  </w:pPr>
                  <w:r>
                    <w:rPr>
                      <w:rFonts w:hint="eastAsia"/>
                      <w:color w:val="auto"/>
                    </w:rPr>
                    <w:t>90</w:t>
                  </w:r>
                </w:p>
              </w:tc>
              <w:tc>
                <w:tcPr>
                  <w:tcW w:w="248" w:type="pct"/>
                  <w:noWrap w:val="0"/>
                  <w:vAlign w:val="center"/>
                </w:tcPr>
                <w:p>
                  <w:pPr>
                    <w:snapToGrid w:val="0"/>
                    <w:jc w:val="center"/>
                    <w:rPr>
                      <w:rFonts w:hint="eastAsia"/>
                      <w:color w:val="auto"/>
                    </w:rPr>
                  </w:pPr>
                  <w:r>
                    <w:rPr>
                      <w:rFonts w:hint="eastAsia"/>
                      <w:color w:val="auto"/>
                    </w:rPr>
                    <w:t>2</w:t>
                  </w:r>
                </w:p>
              </w:tc>
              <w:tc>
                <w:tcPr>
                  <w:tcW w:w="337" w:type="pct"/>
                  <w:noWrap w:val="0"/>
                  <w:vAlign w:val="center"/>
                </w:tcPr>
                <w:p>
                  <w:pPr>
                    <w:snapToGrid w:val="0"/>
                    <w:jc w:val="center"/>
                    <w:rPr>
                      <w:rFonts w:hint="eastAsia"/>
                      <w:color w:val="auto"/>
                    </w:rPr>
                  </w:pPr>
                  <w:r>
                    <w:rPr>
                      <w:rFonts w:hint="eastAsia"/>
                      <w:color w:val="auto"/>
                    </w:rPr>
                    <w:t>5</w:t>
                  </w:r>
                </w:p>
              </w:tc>
              <w:tc>
                <w:tcPr>
                  <w:tcW w:w="373" w:type="pct"/>
                  <w:noWrap w:val="0"/>
                  <w:vAlign w:val="center"/>
                </w:tcPr>
                <w:p>
                  <w:pPr>
                    <w:snapToGrid w:val="0"/>
                    <w:jc w:val="center"/>
                    <w:rPr>
                      <w:rFonts w:hint="default" w:eastAsia="宋体"/>
                      <w:color w:val="auto"/>
                      <w:lang w:val="en-US" w:eastAsia="zh-CN"/>
                    </w:rPr>
                  </w:pPr>
                  <w:r>
                    <w:rPr>
                      <w:rFonts w:hint="eastAsia"/>
                      <w:color w:val="auto"/>
                      <w:lang w:val="en-US" w:eastAsia="zh-CN"/>
                    </w:rPr>
                    <w:t>61</w:t>
                  </w:r>
                </w:p>
              </w:tc>
              <w:tc>
                <w:tcPr>
                  <w:tcW w:w="239" w:type="pct"/>
                  <w:noWrap w:val="0"/>
                  <w:vAlign w:val="center"/>
                </w:tcPr>
                <w:p>
                  <w:pPr>
                    <w:snapToGrid w:val="0"/>
                    <w:jc w:val="center"/>
                    <w:rPr>
                      <w:rFonts w:hint="eastAsia"/>
                      <w:color w:val="auto"/>
                      <w:kern w:val="2"/>
                      <w:sz w:val="21"/>
                      <w:szCs w:val="21"/>
                      <w:lang w:val="en-US" w:eastAsia="zh-CN" w:bidi="ar-SA"/>
                    </w:rPr>
                  </w:pPr>
                  <w:r>
                    <w:rPr>
                      <w:rFonts w:hint="eastAsia"/>
                      <w:color w:val="auto"/>
                      <w:lang w:val="en-US" w:eastAsia="zh-CN"/>
                    </w:rPr>
                    <w:t>10</w:t>
                  </w:r>
                  <w:r>
                    <w:rPr>
                      <w:rFonts w:hint="eastAsia"/>
                      <w:color w:val="auto"/>
                    </w:rPr>
                    <w:t>h</w:t>
                  </w:r>
                </w:p>
              </w:tc>
              <w:tc>
                <w:tcPr>
                  <w:tcW w:w="373" w:type="pct"/>
                  <w:vMerge w:val="continue"/>
                  <w:noWrap w:val="0"/>
                  <w:vAlign w:val="center"/>
                </w:tcPr>
                <w:p>
                  <w:pPr>
                    <w:snapToGrid w:val="0"/>
                    <w:jc w:val="center"/>
                    <w:rPr>
                      <w:color w:val="auto"/>
                    </w:rPr>
                  </w:pPr>
                </w:p>
              </w:tc>
              <w:tc>
                <w:tcPr>
                  <w:tcW w:w="405" w:type="pct"/>
                  <w:vMerge w:val="continue"/>
                  <w:noWrap w:val="0"/>
                  <w:vAlign w:val="center"/>
                </w:tcPr>
                <w:p>
                  <w:pPr>
                    <w:snapToGrid w:val="0"/>
                    <w:jc w:val="center"/>
                    <w:rPr>
                      <w:color w:val="auto"/>
                    </w:rPr>
                  </w:pPr>
                </w:p>
              </w:tc>
              <w:tc>
                <w:tcPr>
                  <w:tcW w:w="458" w:type="pct"/>
                  <w:vMerge w:val="continue"/>
                  <w:noWrap w:val="0"/>
                  <w:vAlign w:val="center"/>
                </w:tcPr>
                <w:p>
                  <w:pPr>
                    <w:snapToGrid w:val="0"/>
                    <w:jc w:val="center"/>
                    <w:rPr>
                      <w:color w:val="auto"/>
                    </w:rPr>
                  </w:pPr>
                </w:p>
              </w:tc>
            </w:tr>
          </w:tbl>
          <w:p>
            <w:pPr>
              <w:pStyle w:val="6"/>
              <w:rPr>
                <w:rFonts w:hint="eastAsia"/>
                <w:color w:val="auto"/>
              </w:rPr>
            </w:pPr>
          </w:p>
          <w:p>
            <w:pPr>
              <w:rPr>
                <w:rFonts w:hint="eastAsia"/>
                <w:color w:val="auto"/>
              </w:rPr>
            </w:pPr>
          </w:p>
          <w:p>
            <w:pPr>
              <w:pStyle w:val="2"/>
              <w:rPr>
                <w:rFonts w:hint="eastAsia"/>
                <w:color w:val="auto"/>
              </w:rPr>
            </w:pPr>
          </w:p>
          <w:p>
            <w:pPr>
              <w:pStyle w:val="4"/>
              <w:rPr>
                <w:rFonts w:hint="eastAsia"/>
                <w:color w:val="auto"/>
              </w:rPr>
            </w:pPr>
          </w:p>
          <w:p>
            <w:pPr>
              <w:pStyle w:val="4"/>
              <w:rPr>
                <w:rFonts w:hint="eastAsia"/>
                <w:color w:val="auto"/>
              </w:rPr>
            </w:pPr>
          </w:p>
          <w:p>
            <w:pPr>
              <w:pStyle w:val="4"/>
              <w:rPr>
                <w:rFonts w:hint="eastAsia"/>
                <w:color w:val="auto"/>
              </w:rPr>
            </w:pPr>
          </w:p>
          <w:p>
            <w:pPr>
              <w:pStyle w:val="4"/>
              <w:rPr>
                <w:rFonts w:hint="eastAsia"/>
                <w:color w:val="auto"/>
              </w:rPr>
            </w:pPr>
          </w:p>
          <w:p>
            <w:pPr>
              <w:pStyle w:val="4"/>
              <w:rPr>
                <w:rFonts w:hint="eastAsia"/>
                <w:color w:val="auto"/>
              </w:rPr>
            </w:pPr>
          </w:p>
        </w:tc>
      </w:tr>
    </w:tbl>
    <w:p>
      <w:pPr>
        <w:pStyle w:val="6"/>
        <w:rPr>
          <w:color w:val="auto"/>
        </w:rPr>
        <w:sectPr>
          <w:pgSz w:w="16840" w:h="11907" w:orient="landscape"/>
          <w:pgMar w:top="1531" w:right="1701" w:bottom="1531" w:left="2127" w:header="851" w:footer="851" w:gutter="0"/>
          <w:pgBorders>
            <w:top w:val="none" w:sz="0" w:space="0"/>
            <w:left w:val="none" w:sz="0" w:space="0"/>
            <w:bottom w:val="none" w:sz="0" w:space="0"/>
            <w:right w:val="none" w:sz="0" w:space="0"/>
          </w:pgBorders>
          <w:cols w:space="720" w:num="1"/>
          <w:docGrid w:linePitch="312" w:charSpace="0"/>
        </w:sectPr>
      </w:pPr>
    </w:p>
    <w:p>
      <w:pPr>
        <w:rPr>
          <w:color w:val="auto"/>
        </w:rPr>
      </w:pPr>
    </w:p>
    <w:tbl>
      <w:tblPr>
        <w:tblStyle w:val="35"/>
        <w:tblW w:w="9201"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679"/>
        <w:gridCol w:w="8522"/>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2583" w:hRule="atLeast"/>
          <w:jc w:val="center"/>
        </w:trPr>
        <w:tc>
          <w:tcPr>
            <w:tcW w:w="679" w:type="dxa"/>
            <w:tcBorders>
              <w:tl2br w:val="nil"/>
              <w:tr2bl w:val="nil"/>
            </w:tcBorders>
            <w:tcMar>
              <w:left w:w="28" w:type="dxa"/>
              <w:right w:w="28" w:type="dxa"/>
            </w:tcMar>
            <w:vAlign w:val="center"/>
          </w:tcPr>
          <w:p>
            <w:pPr>
              <w:rPr>
                <w:rFonts w:hint="default"/>
                <w:color w:val="auto"/>
                <w:highlight w:val="none"/>
                <w:lang w:eastAsia="zh-CN"/>
              </w:rPr>
            </w:pPr>
          </w:p>
        </w:tc>
        <w:tc>
          <w:tcPr>
            <w:tcW w:w="8522" w:type="dxa"/>
            <w:tcBorders>
              <w:tl2br w:val="nil"/>
              <w:tr2bl w:val="nil"/>
            </w:tcBorders>
            <w:vAlign w:val="top"/>
          </w:tcPr>
          <w:p>
            <w:pPr>
              <w:pStyle w:val="90"/>
              <w:keepNext w:val="0"/>
              <w:keepLines w:val="0"/>
              <w:pageBreakBefore w:val="0"/>
              <w:widowControl w:val="0"/>
              <w:kinsoku/>
              <w:wordWrap/>
              <w:overflowPunct/>
              <w:topLinePunct w:val="0"/>
              <w:autoSpaceDE/>
              <w:autoSpaceDN/>
              <w:bidi w:val="0"/>
              <w:adjustRightInd/>
              <w:snapToGrid/>
              <w:spacing w:line="360" w:lineRule="auto"/>
              <w:ind w:right="0"/>
              <w:jc w:val="both"/>
              <w:textAlignment w:val="auto"/>
              <w:rPr>
                <w:rFonts w:hint="eastAsia" w:ascii="Times New Roman" w:hAnsi="Times New Roman" w:eastAsia="仿宋_GB2312" w:cs="Times New Roman"/>
                <w:b/>
                <w:bCs/>
                <w:color w:val="auto"/>
                <w:spacing w:val="0"/>
                <w:kern w:val="2"/>
                <w:sz w:val="24"/>
                <w:szCs w:val="24"/>
                <w:highlight w:val="none"/>
                <w:lang w:val="en-US" w:eastAsia="zh-CN" w:bidi="ar-SA"/>
              </w:rPr>
            </w:pPr>
            <w:r>
              <w:rPr>
                <w:rFonts w:hint="eastAsia" w:ascii="Times New Roman" w:hAnsi="Times New Roman" w:eastAsia="仿宋_GB2312" w:cs="Times New Roman"/>
                <w:b/>
                <w:bCs/>
                <w:color w:val="auto"/>
                <w:spacing w:val="0"/>
                <w:kern w:val="2"/>
                <w:sz w:val="24"/>
                <w:szCs w:val="24"/>
                <w:highlight w:val="none"/>
                <w:lang w:val="en-US" w:eastAsia="zh-CN" w:bidi="ar-SA"/>
              </w:rPr>
              <w:t>3.2减噪措施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本项目运营期噪声主要为</w:t>
            </w:r>
            <w:r>
              <w:rPr>
                <w:rFonts w:hint="eastAsia" w:eastAsia="仿宋_GB2312" w:cs="Times New Roman"/>
                <w:color w:val="auto"/>
                <w:kern w:val="2"/>
                <w:sz w:val="24"/>
                <w:szCs w:val="24"/>
                <w:highlight w:val="none"/>
                <w:lang w:val="en-US" w:eastAsia="zh-CN" w:bidi="ar-SA"/>
              </w:rPr>
              <w:t>菌棒加工车间设备</w:t>
            </w:r>
            <w:r>
              <w:rPr>
                <w:rFonts w:hint="default" w:ascii="Times New Roman" w:hAnsi="Times New Roman" w:eastAsia="仿宋_GB2312" w:cs="Times New Roman"/>
                <w:color w:val="auto"/>
                <w:kern w:val="2"/>
                <w:sz w:val="24"/>
                <w:szCs w:val="24"/>
                <w:highlight w:val="none"/>
                <w:lang w:val="en-US" w:eastAsia="zh-CN" w:bidi="ar-SA"/>
              </w:rPr>
              <w:t>噪声，通过选用低噪音设备、基础减震等措施，可进一步降低噪声源强。</w:t>
            </w:r>
          </w:p>
          <w:p>
            <w:pPr>
              <w:pStyle w:val="90"/>
              <w:keepNext w:val="0"/>
              <w:keepLines w:val="0"/>
              <w:pageBreakBefore w:val="0"/>
              <w:widowControl w:val="0"/>
              <w:kinsoku/>
              <w:wordWrap/>
              <w:overflowPunct/>
              <w:topLinePunct w:val="0"/>
              <w:autoSpaceDE/>
              <w:autoSpaceDN/>
              <w:bidi w:val="0"/>
              <w:adjustRightInd/>
              <w:snapToGrid/>
              <w:spacing w:line="360" w:lineRule="auto"/>
              <w:ind w:right="0"/>
              <w:jc w:val="both"/>
              <w:textAlignment w:val="auto"/>
              <w:rPr>
                <w:rFonts w:hint="default" w:ascii="Times New Roman" w:hAnsi="Times New Roman" w:eastAsia="仿宋_GB2312" w:cs="Times New Roman"/>
                <w:b/>
                <w:bCs/>
                <w:color w:val="auto"/>
                <w:spacing w:val="0"/>
                <w:kern w:val="2"/>
                <w:sz w:val="24"/>
                <w:szCs w:val="24"/>
                <w:highlight w:val="none"/>
                <w:lang w:val="en-US" w:eastAsia="zh-CN" w:bidi="ar-SA"/>
              </w:rPr>
            </w:pPr>
            <w:r>
              <w:rPr>
                <w:rFonts w:hint="eastAsia" w:ascii="Times New Roman" w:hAnsi="Times New Roman" w:eastAsia="仿宋_GB2312" w:cs="Times New Roman"/>
                <w:b/>
                <w:bCs/>
                <w:color w:val="auto"/>
                <w:spacing w:val="0"/>
                <w:kern w:val="2"/>
                <w:sz w:val="24"/>
                <w:szCs w:val="24"/>
                <w:highlight w:val="none"/>
                <w:lang w:val="en-US" w:eastAsia="zh-CN" w:bidi="ar-SA"/>
              </w:rPr>
              <w:t>3.3噪声预测</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jc w:val="left"/>
              <w:textAlignment w:val="auto"/>
              <w:rPr>
                <w:rFonts w:hint="default" w:ascii="Times New Roman" w:hAnsi="Times New Roman" w:eastAsia="仿宋_GB2312" w:cs="Times New Roman"/>
                <w:snapToGrid w:val="0"/>
                <w:color w:val="auto"/>
                <w:kern w:val="0"/>
                <w:sz w:val="24"/>
                <w:szCs w:val="24"/>
                <w:highlight w:val="none"/>
              </w:rPr>
            </w:pPr>
            <w:r>
              <w:rPr>
                <w:rFonts w:hint="default" w:ascii="Times New Roman" w:hAnsi="Times New Roman" w:eastAsia="仿宋_GB2312" w:cs="Times New Roman"/>
                <w:snapToGrid w:val="0"/>
                <w:color w:val="auto"/>
                <w:kern w:val="0"/>
                <w:sz w:val="24"/>
                <w:szCs w:val="24"/>
                <w:highlight w:val="none"/>
              </w:rPr>
              <w:t>预测模式</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rPr>
              <w:t>根据《环境影响评价技术导则声环境》（HJ2.4-2021）的技术要求，本次评价采取导则上的推荐模式进行声环境影响预测。</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rPr>
              <w:t>①噪声贡献值：</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jc w:val="center"/>
              <w:textAlignment w:val="auto"/>
              <w:rPr>
                <w:rFonts w:hint="default" w:ascii="Times New Roman" w:hAnsi="Times New Roman" w:eastAsia="仿宋_GB2312" w:cs="Times New Roman"/>
                <w:color w:val="auto"/>
                <w:sz w:val="24"/>
                <w:szCs w:val="24"/>
              </w:rPr>
            </w:pPr>
            <w:r>
              <w:rPr>
                <w:rFonts w:hint="default" w:ascii="Times New Roman" w:hAnsi="Times New Roman" w:eastAsia="仿宋_GB2312" w:cs="Times New Roman"/>
                <w:bCs/>
                <w:color w:val="auto"/>
                <w:kern w:val="44"/>
                <w:position w:val="-30"/>
                <w:sz w:val="24"/>
                <w:szCs w:val="24"/>
              </w:rPr>
              <w:object>
                <v:shape id="_x0000_i1028" o:spt="75" type="#_x0000_t75" style="height:36.3pt;width:130.85pt;" o:ole="t" filled="f" o:preferrelative="t" stroked="f" coordsize="21600,21600">
                  <v:path/>
                  <v:fill on="f" focussize="0,0"/>
                  <v:stroke on="f" joinstyle="miter"/>
                  <v:imagedata r:id="rId25" o:title=""/>
                  <o:lock v:ext="edit" aspectratio="t"/>
                  <w10:wrap type="none"/>
                  <w10:anchorlock/>
                </v:shape>
                <o:OLEObject Type="Embed" ProgID="Equation.3" ShapeID="_x0000_i1028" DrawAspect="Content" ObjectID="_1468075728" r:id="rId24">
                  <o:LockedField>false</o:LockedField>
                </o:OLEObject>
              </w:objec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textAlignment w:val="auto"/>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式中：L</w:t>
            </w:r>
            <w:r>
              <w:rPr>
                <w:rFonts w:hint="default" w:ascii="Times New Roman" w:hAnsi="Times New Roman" w:eastAsia="仿宋_GB2312" w:cs="Times New Roman"/>
                <w:color w:val="auto"/>
                <w:sz w:val="24"/>
                <w:szCs w:val="24"/>
                <w:vertAlign w:val="subscript"/>
              </w:rPr>
              <w:t>eqg</w:t>
            </w:r>
            <w:r>
              <w:rPr>
                <w:rFonts w:hint="default" w:ascii="Times New Roman" w:hAnsi="Times New Roman" w:eastAsia="仿宋_GB2312" w:cs="Times New Roman"/>
                <w:color w:val="auto"/>
                <w:sz w:val="24"/>
                <w:szCs w:val="24"/>
              </w:rPr>
              <w:t>——噪声贡献值，dB；</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1200" w:firstLineChars="500"/>
              <w:textAlignment w:val="auto"/>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T——预测计算的时间段，s；</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1200" w:firstLineChars="500"/>
              <w:textAlignment w:val="auto"/>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t</w:t>
            </w:r>
            <w:r>
              <w:rPr>
                <w:rFonts w:hint="default" w:ascii="Times New Roman" w:hAnsi="Times New Roman" w:eastAsia="仿宋_GB2312" w:cs="Times New Roman"/>
                <w:color w:val="auto"/>
                <w:sz w:val="24"/>
                <w:szCs w:val="24"/>
                <w:vertAlign w:val="subscript"/>
              </w:rPr>
              <w:t>i</w:t>
            </w:r>
            <w:r>
              <w:rPr>
                <w:rFonts w:hint="default" w:ascii="Times New Roman" w:hAnsi="Times New Roman" w:eastAsia="仿宋_GB2312" w:cs="Times New Roman"/>
                <w:color w:val="auto"/>
                <w:sz w:val="24"/>
                <w:szCs w:val="24"/>
              </w:rPr>
              <w:t>——i声源在T时段内的运行时间，s；</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1200" w:firstLineChars="500"/>
              <w:textAlignment w:val="auto"/>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L</w:t>
            </w:r>
            <w:r>
              <w:rPr>
                <w:rFonts w:hint="default" w:ascii="Times New Roman" w:hAnsi="Times New Roman" w:eastAsia="仿宋_GB2312" w:cs="Times New Roman"/>
                <w:color w:val="auto"/>
                <w:sz w:val="24"/>
                <w:szCs w:val="24"/>
                <w:vertAlign w:val="subscript"/>
              </w:rPr>
              <w:t>Ai</w:t>
            </w:r>
            <w:r>
              <w:rPr>
                <w:rFonts w:hint="default" w:ascii="Times New Roman" w:hAnsi="Times New Roman" w:eastAsia="仿宋_GB2312" w:cs="Times New Roman"/>
                <w:color w:val="auto"/>
                <w:sz w:val="24"/>
                <w:szCs w:val="24"/>
              </w:rPr>
              <w:t>——i声源在预测点产生的等效连续A声级，dB。</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textAlignment w:val="auto"/>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②噪声预测值：</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jc w:val="center"/>
              <w:textAlignment w:val="auto"/>
              <w:rPr>
                <w:rFonts w:hint="default" w:ascii="Times New Roman" w:hAnsi="Times New Roman" w:eastAsia="仿宋_GB2312" w:cs="Times New Roman"/>
                <w:color w:val="auto"/>
                <w:sz w:val="24"/>
                <w:szCs w:val="24"/>
              </w:rPr>
            </w:pPr>
            <w:r>
              <w:rPr>
                <w:rFonts w:hint="default" w:ascii="Times New Roman" w:hAnsi="Times New Roman" w:eastAsia="仿宋_GB2312" w:cs="Times New Roman"/>
                <w:bCs/>
                <w:color w:val="auto"/>
                <w:kern w:val="44"/>
                <w:position w:val="-14"/>
                <w:sz w:val="24"/>
                <w:szCs w:val="24"/>
              </w:rPr>
              <w:object>
                <v:shape id="_x0000_i1029" o:spt="75" type="#_x0000_t75" style="height:20.65pt;width:135.85pt;" o:ole="t" filled="f" o:preferrelative="t" stroked="f" coordsize="21600,21600">
                  <v:path/>
                  <v:fill on="f" focussize="0,0"/>
                  <v:stroke on="f" joinstyle="miter"/>
                  <v:imagedata r:id="rId27" o:title=""/>
                  <o:lock v:ext="edit" aspectratio="t"/>
                  <w10:wrap type="none"/>
                  <w10:anchorlock/>
                </v:shape>
                <o:OLEObject Type="Embed" ProgID="Equation.3" ShapeID="_x0000_i1029" DrawAspect="Content" ObjectID="_1468075729" r:id="rId26">
                  <o:LockedField>false</o:LockedField>
                </o:OLEObject>
              </w:objec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textAlignment w:val="auto"/>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式中：L</w:t>
            </w:r>
            <w:r>
              <w:rPr>
                <w:rFonts w:hint="default" w:ascii="Times New Roman" w:hAnsi="Times New Roman" w:eastAsia="仿宋_GB2312" w:cs="Times New Roman"/>
                <w:color w:val="auto"/>
                <w:sz w:val="24"/>
                <w:szCs w:val="24"/>
                <w:vertAlign w:val="subscript"/>
              </w:rPr>
              <w:t>eq</w:t>
            </w:r>
            <w:r>
              <w:rPr>
                <w:rFonts w:hint="default" w:ascii="Times New Roman" w:hAnsi="Times New Roman" w:eastAsia="仿宋_GB2312" w:cs="Times New Roman"/>
                <w:color w:val="auto"/>
                <w:sz w:val="24"/>
                <w:szCs w:val="24"/>
              </w:rPr>
              <w:t>——预测点的噪声预测值，dB；</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1200" w:firstLineChars="500"/>
              <w:textAlignment w:val="auto"/>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L</w:t>
            </w:r>
            <w:r>
              <w:rPr>
                <w:rFonts w:hint="default" w:ascii="Times New Roman" w:hAnsi="Times New Roman" w:eastAsia="仿宋_GB2312" w:cs="Times New Roman"/>
                <w:color w:val="auto"/>
                <w:sz w:val="24"/>
                <w:szCs w:val="24"/>
                <w:vertAlign w:val="subscript"/>
              </w:rPr>
              <w:t>eqg</w:t>
            </w:r>
            <w:r>
              <w:rPr>
                <w:rFonts w:hint="default" w:ascii="Times New Roman" w:hAnsi="Times New Roman" w:eastAsia="仿宋_GB2312" w:cs="Times New Roman"/>
                <w:color w:val="auto"/>
                <w:sz w:val="24"/>
                <w:szCs w:val="24"/>
              </w:rPr>
              <w:t>——建设项目声源在预测点产生的噪声贡献值，dB；</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1200" w:firstLineChars="500"/>
              <w:textAlignment w:val="auto"/>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L</w:t>
            </w:r>
            <w:r>
              <w:rPr>
                <w:rFonts w:hint="default" w:ascii="Times New Roman" w:hAnsi="Times New Roman" w:eastAsia="仿宋_GB2312" w:cs="Times New Roman"/>
                <w:color w:val="auto"/>
                <w:sz w:val="24"/>
                <w:szCs w:val="24"/>
                <w:vertAlign w:val="subscript"/>
              </w:rPr>
              <w:t>eqb</w:t>
            </w:r>
            <w:r>
              <w:rPr>
                <w:rFonts w:hint="default" w:ascii="Times New Roman" w:hAnsi="Times New Roman" w:eastAsia="仿宋_GB2312" w:cs="Times New Roman"/>
                <w:color w:val="auto"/>
                <w:sz w:val="24"/>
                <w:szCs w:val="24"/>
              </w:rPr>
              <w:t>——预测点的背景噪声值，dB。</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textAlignment w:val="auto"/>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⑶声环境影响预测步骤</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textAlignment w:val="auto"/>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①建立坐标系，确定各声源坐标和预测点坐标，并根据声源性质以及预测点与声源之间的距离等情况，把声源简化成点声源，或线声源，或面声源。</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textAlignment w:val="auto"/>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②根据已获得的声源源强的数据和各声源到预测点的声波传播条件资料，计算出噪声从各声源传播到预测点的声衰减量，由此计算出各声源单独作用在预测点时产生的A声级</w:t>
            </w:r>
            <w:r>
              <w:rPr>
                <w:rFonts w:hint="default" w:ascii="Times New Roman" w:hAnsi="Times New Roman" w:eastAsia="仿宋_GB2312" w:cs="Times New Roman"/>
                <w:color w:val="auto"/>
                <w:sz w:val="24"/>
                <w:szCs w:val="24"/>
                <w:lang w:eastAsia="zh-CN"/>
              </w:rPr>
              <w:t>（</w:t>
            </w:r>
            <w:r>
              <w:rPr>
                <w:rFonts w:hint="default" w:ascii="Times New Roman" w:hAnsi="Times New Roman" w:eastAsia="仿宋_GB2312" w:cs="Times New Roman"/>
                <w:color w:val="auto"/>
                <w:sz w:val="24"/>
                <w:szCs w:val="24"/>
              </w:rPr>
              <w:t>L</w:t>
            </w:r>
            <w:r>
              <w:rPr>
                <w:rFonts w:hint="default" w:ascii="Times New Roman" w:hAnsi="Times New Roman" w:eastAsia="仿宋_GB2312" w:cs="Times New Roman"/>
                <w:color w:val="auto"/>
                <w:sz w:val="24"/>
                <w:szCs w:val="24"/>
                <w:vertAlign w:val="subscript"/>
              </w:rPr>
              <w:t>Ai</w:t>
            </w:r>
            <w:r>
              <w:rPr>
                <w:rFonts w:hint="default" w:ascii="Times New Roman" w:hAnsi="Times New Roman" w:eastAsia="仿宋_GB2312" w:cs="Times New Roman"/>
                <w:color w:val="auto"/>
                <w:sz w:val="24"/>
                <w:szCs w:val="24"/>
                <w:vertAlign w:val="subscript"/>
                <w:lang w:eastAsia="zh-CN"/>
              </w:rPr>
              <w:t>）</w:t>
            </w:r>
            <w:r>
              <w:rPr>
                <w:rFonts w:hint="default" w:ascii="Times New Roman" w:hAnsi="Times New Roman" w:eastAsia="仿宋_GB2312" w:cs="Times New Roman"/>
                <w:color w:val="auto"/>
                <w:sz w:val="24"/>
                <w:szCs w:val="24"/>
              </w:rPr>
              <w:t>或等效感觉噪声级</w:t>
            </w:r>
            <w:r>
              <w:rPr>
                <w:rFonts w:hint="default" w:ascii="Times New Roman" w:hAnsi="Times New Roman" w:eastAsia="仿宋_GB2312" w:cs="Times New Roman"/>
                <w:color w:val="auto"/>
                <w:sz w:val="24"/>
                <w:szCs w:val="24"/>
                <w:lang w:eastAsia="zh-CN"/>
              </w:rPr>
              <w:t>（</w:t>
            </w:r>
            <w:r>
              <w:rPr>
                <w:rFonts w:hint="default" w:ascii="Times New Roman" w:hAnsi="Times New Roman" w:eastAsia="仿宋_GB2312" w:cs="Times New Roman"/>
                <w:color w:val="auto"/>
                <w:sz w:val="24"/>
                <w:szCs w:val="24"/>
              </w:rPr>
              <w:t>L</w:t>
            </w:r>
            <w:r>
              <w:rPr>
                <w:rFonts w:hint="default" w:ascii="Times New Roman" w:hAnsi="Times New Roman" w:eastAsia="仿宋_GB2312" w:cs="Times New Roman"/>
                <w:color w:val="auto"/>
                <w:sz w:val="24"/>
                <w:szCs w:val="24"/>
                <w:vertAlign w:val="subscript"/>
              </w:rPr>
              <w:t>EPN</w:t>
            </w:r>
            <w:r>
              <w:rPr>
                <w:rFonts w:hint="default" w:ascii="Times New Roman" w:hAnsi="Times New Roman" w:eastAsia="仿宋_GB2312" w:cs="Times New Roman"/>
                <w:color w:val="auto"/>
                <w:sz w:val="24"/>
                <w:szCs w:val="24"/>
              </w:rPr>
              <w:t>)。</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textAlignment w:val="auto"/>
              <w:rPr>
                <w:rFonts w:hint="default" w:ascii="Times New Roman" w:hAnsi="Times New Roman" w:eastAsia="仿宋_GB2312" w:cs="Times New Roman"/>
                <w:bCs/>
                <w:color w:val="auto"/>
                <w:sz w:val="24"/>
                <w:szCs w:val="24"/>
              </w:rPr>
            </w:pPr>
            <w:bookmarkStart w:id="2" w:name="_Toc13661"/>
            <w:bookmarkStart w:id="3" w:name="_Toc18294"/>
            <w:r>
              <w:rPr>
                <w:rFonts w:hint="default" w:ascii="Times New Roman" w:hAnsi="Times New Roman" w:eastAsia="仿宋_GB2312" w:cs="Times New Roman"/>
                <w:bCs/>
                <w:color w:val="auto"/>
                <w:sz w:val="24"/>
                <w:szCs w:val="24"/>
              </w:rPr>
              <w:t>⑷噪声预测结果与影响分析</w:t>
            </w:r>
            <w:bookmarkEnd w:id="2"/>
            <w:bookmarkEnd w:id="3"/>
          </w:p>
          <w:p>
            <w:pPr>
              <w:keepNext w:val="0"/>
              <w:keepLines w:val="0"/>
              <w:pageBreakBefore w:val="0"/>
              <w:widowControl w:val="0"/>
              <w:kinsoku/>
              <w:wordWrap/>
              <w:overflowPunct/>
              <w:topLinePunct w:val="0"/>
              <w:autoSpaceDE/>
              <w:autoSpaceDN/>
              <w:bidi w:val="0"/>
              <w:snapToGrid/>
              <w:spacing w:line="360" w:lineRule="auto"/>
              <w:ind w:firstLine="480" w:firstLineChars="200"/>
              <w:textAlignment w:val="auto"/>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噪声在室外空间的传播，由于受到遮挡物的隔断，各种介质的吸收与反射，以及空气介质的吸收等物理作用而逐渐减弱。</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textAlignment w:val="auto"/>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本项目各预测点昼、夜间的噪声预测值分别见</w:t>
            </w:r>
            <w:r>
              <w:rPr>
                <w:rFonts w:hint="default" w:ascii="Times New Roman" w:hAnsi="Times New Roman" w:eastAsia="仿宋_GB2312" w:cs="Times New Roman"/>
                <w:color w:val="auto"/>
                <w:sz w:val="24"/>
                <w:szCs w:val="24"/>
                <w:lang w:eastAsia="zh-CN"/>
              </w:rPr>
              <w:t>下表</w:t>
            </w:r>
            <w:r>
              <w:rPr>
                <w:rFonts w:hint="default" w:ascii="Times New Roman" w:hAnsi="Times New Roman" w:eastAsia="仿宋_GB2312" w:cs="Times New Roman"/>
                <w:color w:val="auto"/>
                <w:sz w:val="24"/>
                <w:szCs w:val="24"/>
              </w:rPr>
              <w:t>。</w:t>
            </w:r>
          </w:p>
          <w:p>
            <w:pPr>
              <w:adjustRightInd w:val="0"/>
              <w:snapToGrid w:val="0"/>
              <w:ind w:firstLine="420" w:firstLineChars="200"/>
              <w:jc w:val="both"/>
              <w:rPr>
                <w:rFonts w:hint="default" w:ascii="Times New Roman" w:hAnsi="Times New Roman" w:eastAsia="宋体" w:cs="Times New Roman"/>
                <w:b/>
                <w:color w:val="auto"/>
                <w:sz w:val="24"/>
                <w:szCs w:val="24"/>
                <w:highlight w:val="none"/>
                <w:lang w:eastAsia="zh-CN"/>
              </w:rPr>
            </w:pPr>
            <w:r>
              <w:rPr>
                <w:rFonts w:hint="default" w:ascii="Times New Roman" w:hAnsi="Times New Roman" w:eastAsia="宋体" w:cs="Times New Roman"/>
                <w:b w:val="0"/>
                <w:bCs/>
                <w:color w:val="auto"/>
                <w:kern w:val="2"/>
                <w:sz w:val="21"/>
                <w:szCs w:val="21"/>
                <w:lang w:val="en-US" w:eastAsia="zh-CN" w:bidi="ar-SA"/>
              </w:rPr>
              <w:t>表</w:t>
            </w:r>
            <w:r>
              <w:rPr>
                <w:rFonts w:hint="eastAsia" w:cs="Times New Roman"/>
                <w:b w:val="0"/>
                <w:bCs/>
                <w:color w:val="auto"/>
                <w:kern w:val="2"/>
                <w:sz w:val="21"/>
                <w:szCs w:val="21"/>
                <w:lang w:val="en-US" w:eastAsia="zh-CN" w:bidi="ar-SA"/>
              </w:rPr>
              <w:t>38</w:t>
            </w:r>
            <w:r>
              <w:rPr>
                <w:rFonts w:hint="default" w:ascii="Times New Roman" w:hAnsi="Times New Roman" w:eastAsia="宋体" w:cs="Times New Roman"/>
                <w:b w:val="0"/>
                <w:bCs/>
                <w:color w:val="auto"/>
                <w:kern w:val="2"/>
                <w:sz w:val="21"/>
                <w:szCs w:val="21"/>
                <w:lang w:val="en-US" w:eastAsia="zh-CN" w:bidi="ar-SA"/>
              </w:rPr>
              <w:t xml:space="preserve"> </w:t>
            </w:r>
            <w:r>
              <w:rPr>
                <w:rFonts w:hint="default" w:ascii="Times New Roman" w:hAnsi="Times New Roman" w:eastAsia="宋体" w:cs="Times New Roman"/>
                <w:b/>
                <w:color w:val="auto"/>
                <w:sz w:val="24"/>
                <w:szCs w:val="24"/>
                <w:highlight w:val="none"/>
              </w:rPr>
              <w:t xml:space="preserve">          </w:t>
            </w:r>
            <w:r>
              <w:rPr>
                <w:rFonts w:hint="default" w:ascii="Times New Roman" w:hAnsi="Times New Roman" w:eastAsia="宋体" w:cs="Times New Roman"/>
                <w:b/>
                <w:color w:val="auto"/>
                <w:sz w:val="24"/>
                <w:szCs w:val="24"/>
                <w:highlight w:val="none"/>
                <w:lang w:val="en-US" w:eastAsia="zh-CN"/>
              </w:rPr>
              <w:t xml:space="preserve"> </w:t>
            </w:r>
            <w:r>
              <w:rPr>
                <w:rFonts w:hint="default" w:ascii="Times New Roman" w:hAnsi="Times New Roman" w:eastAsia="宋体" w:cs="Times New Roman"/>
                <w:b/>
                <w:color w:val="auto"/>
                <w:sz w:val="24"/>
                <w:szCs w:val="24"/>
                <w:highlight w:val="none"/>
              </w:rPr>
              <w:t xml:space="preserve"> </w:t>
            </w:r>
            <w:r>
              <w:rPr>
                <w:rFonts w:hint="default" w:ascii="Times New Roman" w:hAnsi="Times New Roman" w:eastAsia="宋体" w:cs="Times New Roman"/>
                <w:b/>
                <w:color w:val="auto"/>
                <w:sz w:val="24"/>
                <w:szCs w:val="24"/>
                <w:highlight w:val="none"/>
                <w:lang w:eastAsia="zh-CN"/>
              </w:rPr>
              <w:t>生产车间距厂界四周距离</w:t>
            </w:r>
            <w:r>
              <w:rPr>
                <w:rFonts w:hint="default" w:ascii="Times New Roman" w:hAnsi="Times New Roman" w:eastAsia="宋体" w:cs="Times New Roman"/>
                <w:b/>
                <w:color w:val="auto"/>
                <w:sz w:val="24"/>
                <w:szCs w:val="24"/>
                <w:highlight w:val="none"/>
              </w:rPr>
              <w:t xml:space="preserve">           单位：</w:t>
            </w:r>
            <w:r>
              <w:rPr>
                <w:rFonts w:hint="default" w:ascii="Times New Roman" w:hAnsi="Times New Roman" w:eastAsia="宋体" w:cs="Times New Roman"/>
                <w:b/>
                <w:color w:val="auto"/>
                <w:sz w:val="24"/>
                <w:szCs w:val="24"/>
                <w:highlight w:val="none"/>
                <w:lang w:val="en-US" w:eastAsia="zh-CN"/>
              </w:rPr>
              <w:t>m</w:t>
            </w:r>
          </w:p>
          <w:tbl>
            <w:tblPr>
              <w:tblStyle w:val="36"/>
              <w:tblW w:w="493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70"/>
              <w:gridCol w:w="1619"/>
              <w:gridCol w:w="1631"/>
              <w:gridCol w:w="1552"/>
              <w:gridCol w:w="16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1693" w:type="dxa"/>
                  <w:noWrap w:val="0"/>
                  <w:vAlign w:val="center"/>
                  <mc:AlternateContent>
                    <mc:Choice Requires="wpsCustomData">
                      <wpsCustomData:diagonals>
                        <wpsCustomData:diagonal from="10000" to="30000">
                          <wpsCustomData:border w:val="single" w:color="auto" w:sz="12" w:space="0"/>
                        </wpsCustomData:diagonal>
                      </wpsCustomData:diagonals>
                    </mc:Choice>
                  </mc:AlternateContent>
                </w:tcPr>
                <w:p>
                  <w:pPr>
                    <w:snapToGrid w:val="0"/>
                    <w:jc w:val="center"/>
                    <mc:AlternateContent>
                      <mc:Choice Requires="wpsCustomData">
                        <wpsCustomData:diagonalParaType/>
                      </mc:Choice>
                    </mc:AlternateContent>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区域</w:t>
                  </w:r>
                </w:p>
                <w:p>
                  <w:pPr>
                    <w:jc w:val="center"/>
                    <w:rPr>
                      <w:rFonts w:hint="default"/>
                      <w:color w:val="auto"/>
                      <w:lang w:val="en-US" w:eastAsia="zh-CN"/>
                    </w:rPr>
                  </w:pPr>
                  <w:r>
                    <w:rPr>
                      <w:rFonts w:hint="default" w:ascii="Times New Roman" w:hAnsi="Times New Roman" w:eastAsia="宋体" w:cs="Times New Roman"/>
                      <w:b/>
                      <w:bCs/>
                      <w:color w:val="auto"/>
                      <w:sz w:val="21"/>
                      <w:szCs w:val="21"/>
                      <w:highlight w:val="none"/>
                      <w:vertAlign w:val="baseline"/>
                      <w:lang w:val="en-US" w:eastAsia="zh-CN"/>
                    </w:rPr>
                    <w:t>方位</w:t>
                  </w:r>
                </w:p>
              </w:tc>
              <w:tc>
                <w:tcPr>
                  <w:tcW w:w="1548" w:type="dxa"/>
                  <w:noWrap w:val="0"/>
                  <w:vAlign w:val="center"/>
                </w:tcPr>
                <w:p>
                  <w:pPr>
                    <w:jc w:val="center"/>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距东厂界距离</w:t>
                  </w:r>
                  <w:r>
                    <w:rPr>
                      <w:rFonts w:hint="eastAsia" w:ascii="Times New Roman" w:hAnsi="Times New Roman" w:eastAsia="宋体" w:cs="Times New Roman"/>
                      <w:b/>
                      <w:bCs/>
                      <w:color w:val="auto"/>
                      <w:sz w:val="21"/>
                      <w:szCs w:val="21"/>
                      <w:highlight w:val="none"/>
                      <w:vertAlign w:val="baseline"/>
                      <w:lang w:val="en-US" w:eastAsia="zh-CN"/>
                    </w:rPr>
                    <w:t>/m</w:t>
                  </w:r>
                </w:p>
              </w:tc>
              <w:tc>
                <w:tcPr>
                  <w:tcW w:w="1560" w:type="dxa"/>
                  <w:noWrap w:val="0"/>
                  <w:vAlign w:val="center"/>
                </w:tcPr>
                <w:p>
                  <w:pPr>
                    <w:jc w:val="center"/>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距南厂界距离</w:t>
                  </w:r>
                  <w:r>
                    <w:rPr>
                      <w:rFonts w:hint="eastAsia" w:ascii="Times New Roman" w:hAnsi="Times New Roman" w:eastAsia="宋体" w:cs="Times New Roman"/>
                      <w:b/>
                      <w:bCs/>
                      <w:color w:val="auto"/>
                      <w:sz w:val="21"/>
                      <w:szCs w:val="21"/>
                      <w:highlight w:val="none"/>
                      <w:vertAlign w:val="baseline"/>
                      <w:lang w:val="en-US" w:eastAsia="zh-CN"/>
                    </w:rPr>
                    <w:t>/m</w:t>
                  </w:r>
                </w:p>
              </w:tc>
              <w:tc>
                <w:tcPr>
                  <w:tcW w:w="1485" w:type="dxa"/>
                  <w:noWrap w:val="0"/>
                  <w:vAlign w:val="center"/>
                </w:tcPr>
                <w:p>
                  <w:pPr>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eastAsia="zh-CN"/>
                    </w:rPr>
                    <w:t>距西厂界距离</w:t>
                  </w:r>
                  <w:r>
                    <w:rPr>
                      <w:rFonts w:hint="eastAsia" w:ascii="Times New Roman" w:hAnsi="Times New Roman" w:eastAsia="宋体" w:cs="Times New Roman"/>
                      <w:b/>
                      <w:bCs/>
                      <w:color w:val="auto"/>
                      <w:sz w:val="21"/>
                      <w:szCs w:val="21"/>
                      <w:highlight w:val="none"/>
                      <w:vertAlign w:val="baseline"/>
                      <w:lang w:val="en-US" w:eastAsia="zh-CN"/>
                    </w:rPr>
                    <w:t>/m</w:t>
                  </w:r>
                </w:p>
              </w:tc>
              <w:tc>
                <w:tcPr>
                  <w:tcW w:w="1531" w:type="dxa"/>
                  <w:noWrap w:val="0"/>
                  <w:vAlign w:val="center"/>
                </w:tcPr>
                <w:p>
                  <w:pPr>
                    <w:jc w:val="center"/>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距北厂界距离</w:t>
                  </w:r>
                  <w:r>
                    <w:rPr>
                      <w:rFonts w:hint="eastAsia" w:ascii="Times New Roman" w:hAnsi="Times New Roman" w:eastAsia="宋体" w:cs="Times New Roman"/>
                      <w:b/>
                      <w:bCs/>
                      <w:color w:val="auto"/>
                      <w:sz w:val="21"/>
                      <w:szCs w:val="21"/>
                      <w:highlight w:val="none"/>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1693" w:type="dxa"/>
                  <w:noWrap w:val="0"/>
                  <w:vAlign w:val="center"/>
                </w:tcPr>
                <w:p>
                  <w:pPr>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生产区域</w:t>
                  </w:r>
                </w:p>
              </w:tc>
              <w:tc>
                <w:tcPr>
                  <w:tcW w:w="1548" w:type="dxa"/>
                  <w:noWrap w:val="0"/>
                  <w:vAlign w:val="center"/>
                </w:tcPr>
                <w:p>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w:t>
                  </w:r>
                  <w:r>
                    <w:rPr>
                      <w:rFonts w:hint="default" w:ascii="Times New Roman" w:hAnsi="Times New Roman" w:eastAsia="宋体" w:cs="Times New Roman"/>
                      <w:color w:val="auto"/>
                      <w:sz w:val="21"/>
                      <w:szCs w:val="21"/>
                      <w:highlight w:val="none"/>
                      <w:vertAlign w:val="baseline"/>
                      <w:lang w:val="en-US" w:eastAsia="zh-CN"/>
                    </w:rPr>
                    <w:t>m</w:t>
                  </w:r>
                </w:p>
              </w:tc>
              <w:tc>
                <w:tcPr>
                  <w:tcW w:w="1560" w:type="dxa"/>
                  <w:noWrap w:val="0"/>
                  <w:vAlign w:val="center"/>
                </w:tcPr>
                <w:p>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w:t>
                  </w:r>
                  <w:r>
                    <w:rPr>
                      <w:rFonts w:hint="default" w:ascii="Times New Roman" w:hAnsi="Times New Roman" w:eastAsia="宋体" w:cs="Times New Roman"/>
                      <w:color w:val="auto"/>
                      <w:sz w:val="21"/>
                      <w:szCs w:val="21"/>
                      <w:highlight w:val="none"/>
                      <w:vertAlign w:val="baseline"/>
                      <w:lang w:val="en-US" w:eastAsia="zh-CN"/>
                    </w:rPr>
                    <w:t>m</w:t>
                  </w:r>
                </w:p>
              </w:tc>
              <w:tc>
                <w:tcPr>
                  <w:tcW w:w="1485" w:type="dxa"/>
                  <w:noWrap w:val="0"/>
                  <w:vAlign w:val="center"/>
                </w:tcPr>
                <w:p>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w:t>
                  </w:r>
                  <w:r>
                    <w:rPr>
                      <w:rFonts w:hint="default" w:ascii="Times New Roman" w:hAnsi="Times New Roman" w:eastAsia="宋体" w:cs="Times New Roman"/>
                      <w:color w:val="auto"/>
                      <w:sz w:val="21"/>
                      <w:szCs w:val="21"/>
                      <w:highlight w:val="none"/>
                      <w:vertAlign w:val="baseline"/>
                      <w:lang w:val="en-US" w:eastAsia="zh-CN"/>
                    </w:rPr>
                    <w:t>m</w:t>
                  </w:r>
                </w:p>
              </w:tc>
              <w:tc>
                <w:tcPr>
                  <w:tcW w:w="1531" w:type="dxa"/>
                  <w:noWrap w:val="0"/>
                  <w:vAlign w:val="center"/>
                </w:tcPr>
                <w:p>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w:t>
                  </w:r>
                  <w:r>
                    <w:rPr>
                      <w:rFonts w:hint="default" w:ascii="Times New Roman" w:hAnsi="Times New Roman" w:eastAsia="宋体" w:cs="Times New Roman"/>
                      <w:color w:val="auto"/>
                      <w:sz w:val="21"/>
                      <w:szCs w:val="21"/>
                      <w:highlight w:val="none"/>
                      <w:vertAlign w:val="baseline"/>
                      <w:lang w:val="en-US" w:eastAsia="zh-CN"/>
                    </w:rPr>
                    <w:t>m</w:t>
                  </w:r>
                </w:p>
              </w:tc>
            </w:tr>
          </w:tbl>
          <w:p>
            <w:pPr>
              <w:adjustRightInd w:val="0"/>
              <w:snapToGrid w:val="0"/>
              <w:ind w:firstLine="420" w:firstLineChars="200"/>
              <w:jc w:val="both"/>
              <w:rPr>
                <w:rFonts w:hint="default" w:ascii="Times New Roman" w:hAnsi="Times New Roman" w:eastAsia="宋体" w:cs="Times New Roman"/>
                <w:b/>
                <w:color w:val="auto"/>
                <w:highlight w:val="none"/>
              </w:rPr>
            </w:pPr>
            <w:r>
              <w:rPr>
                <w:rFonts w:hint="default" w:ascii="Times New Roman" w:hAnsi="Times New Roman" w:eastAsia="宋体" w:cs="Times New Roman"/>
                <w:b w:val="0"/>
                <w:bCs/>
                <w:color w:val="auto"/>
                <w:kern w:val="2"/>
                <w:sz w:val="21"/>
                <w:szCs w:val="21"/>
                <w:lang w:val="en-US" w:eastAsia="zh-CN" w:bidi="ar-SA"/>
              </w:rPr>
              <w:t>表</w:t>
            </w:r>
            <w:r>
              <w:rPr>
                <w:rFonts w:hint="eastAsia" w:cs="Times New Roman"/>
                <w:b w:val="0"/>
                <w:bCs/>
                <w:color w:val="auto"/>
                <w:kern w:val="2"/>
                <w:sz w:val="21"/>
                <w:szCs w:val="21"/>
                <w:lang w:val="en-US" w:eastAsia="zh-CN" w:bidi="ar-SA"/>
              </w:rPr>
              <w:t>39</w:t>
            </w:r>
            <w:r>
              <w:rPr>
                <w:rFonts w:hint="default" w:ascii="Times New Roman" w:hAnsi="Times New Roman" w:eastAsia="宋体" w:cs="Times New Roman"/>
                <w:b w:val="0"/>
                <w:bCs/>
                <w:color w:val="auto"/>
                <w:kern w:val="2"/>
                <w:sz w:val="21"/>
                <w:szCs w:val="21"/>
                <w:lang w:val="en-US" w:eastAsia="zh-CN" w:bidi="ar-SA"/>
              </w:rPr>
              <w:t xml:space="preserve">  </w:t>
            </w:r>
            <w:r>
              <w:rPr>
                <w:rFonts w:hint="default" w:ascii="Times New Roman" w:hAnsi="Times New Roman" w:eastAsia="宋体" w:cs="Times New Roman"/>
                <w:b/>
                <w:color w:val="auto"/>
                <w:sz w:val="24"/>
                <w:szCs w:val="24"/>
                <w:highlight w:val="none"/>
              </w:rPr>
              <w:t xml:space="preserve">          噪声预测结果一览表            单位：dB（A）</w:t>
            </w:r>
          </w:p>
          <w:tbl>
            <w:tblPr>
              <w:tblStyle w:val="35"/>
              <w:tblW w:w="821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8"/>
              <w:gridCol w:w="1026"/>
              <w:gridCol w:w="1113"/>
              <w:gridCol w:w="1159"/>
              <w:gridCol w:w="1177"/>
              <w:gridCol w:w="1004"/>
              <w:gridCol w:w="970"/>
              <w:gridCol w:w="9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804" w:type="dxa"/>
                  <w:gridSpan w:val="2"/>
                  <w:vMerge w:val="restart"/>
                  <w:noWrap w:val="0"/>
                  <w:vAlign w:val="center"/>
                </w:tcPr>
                <w:p>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厂界噪声声级</w:t>
                  </w:r>
                </w:p>
              </w:tc>
              <w:tc>
                <w:tcPr>
                  <w:tcW w:w="4453" w:type="dxa"/>
                  <w:gridSpan w:val="4"/>
                  <w:noWrap w:val="0"/>
                  <w:vAlign w:val="center"/>
                </w:tcPr>
                <w:p>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位     置</w:t>
                  </w:r>
                </w:p>
              </w:tc>
              <w:tc>
                <w:tcPr>
                  <w:tcW w:w="970" w:type="dxa"/>
                  <w:vMerge w:val="restart"/>
                  <w:noWrap w:val="0"/>
                  <w:vAlign w:val="center"/>
                </w:tcPr>
                <w:p>
                  <w:pPr>
                    <w:overflowPunct w:val="0"/>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标准</w:t>
                  </w:r>
                </w:p>
              </w:tc>
              <w:tc>
                <w:tcPr>
                  <w:tcW w:w="992" w:type="dxa"/>
                  <w:vMerge w:val="restart"/>
                  <w:noWrap w:val="0"/>
                  <w:vAlign w:val="center"/>
                </w:tcPr>
                <w:p>
                  <w:pPr>
                    <w:overflowPunct w:val="0"/>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804" w:type="dxa"/>
                  <w:gridSpan w:val="2"/>
                  <w:vMerge w:val="continue"/>
                  <w:noWrap w:val="0"/>
                  <w:vAlign w:val="center"/>
                </w:tcPr>
                <w:p>
                  <w:pPr>
                    <w:adjustRightInd w:val="0"/>
                    <w:snapToGrid w:val="0"/>
                    <w:jc w:val="center"/>
                    <w:rPr>
                      <w:rFonts w:hint="default" w:ascii="Times New Roman" w:hAnsi="Times New Roman" w:cs="Times New Roman"/>
                      <w:color w:val="auto"/>
                      <w:sz w:val="21"/>
                      <w:szCs w:val="21"/>
                    </w:rPr>
                  </w:pPr>
                </w:p>
              </w:tc>
              <w:tc>
                <w:tcPr>
                  <w:tcW w:w="1113" w:type="dxa"/>
                  <w:noWrap w:val="0"/>
                  <w:vAlign w:val="center"/>
                </w:tcPr>
                <w:p>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东厂界</w:t>
                  </w:r>
                </w:p>
              </w:tc>
              <w:tc>
                <w:tcPr>
                  <w:tcW w:w="1159" w:type="dxa"/>
                  <w:noWrap w:val="0"/>
                  <w:vAlign w:val="center"/>
                </w:tcPr>
                <w:p>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南厂界</w:t>
                  </w:r>
                </w:p>
              </w:tc>
              <w:tc>
                <w:tcPr>
                  <w:tcW w:w="1177" w:type="dxa"/>
                  <w:noWrap w:val="0"/>
                  <w:vAlign w:val="center"/>
                </w:tcPr>
                <w:p>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西厂界</w:t>
                  </w:r>
                </w:p>
              </w:tc>
              <w:tc>
                <w:tcPr>
                  <w:tcW w:w="1004" w:type="dxa"/>
                  <w:noWrap w:val="0"/>
                  <w:vAlign w:val="center"/>
                </w:tcPr>
                <w:p>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北厂界</w:t>
                  </w:r>
                </w:p>
              </w:tc>
              <w:tc>
                <w:tcPr>
                  <w:tcW w:w="970" w:type="dxa"/>
                  <w:vMerge w:val="continue"/>
                  <w:noWrap w:val="0"/>
                  <w:vAlign w:val="center"/>
                </w:tcPr>
                <w:p>
                  <w:pPr>
                    <w:adjustRightInd w:val="0"/>
                    <w:snapToGrid w:val="0"/>
                    <w:jc w:val="center"/>
                    <w:rPr>
                      <w:rFonts w:hint="default" w:ascii="Times New Roman" w:hAnsi="Times New Roman" w:cs="Times New Roman"/>
                      <w:color w:val="auto"/>
                      <w:sz w:val="21"/>
                      <w:szCs w:val="21"/>
                    </w:rPr>
                  </w:pPr>
                </w:p>
              </w:tc>
              <w:tc>
                <w:tcPr>
                  <w:tcW w:w="992" w:type="dxa"/>
                  <w:vMerge w:val="continue"/>
                  <w:noWrap w:val="0"/>
                  <w:vAlign w:val="center"/>
                </w:tcPr>
                <w:p>
                  <w:pPr>
                    <w:adjustRightInd w:val="0"/>
                    <w:snapToGrid w:val="0"/>
                    <w:jc w:val="center"/>
                    <w:rPr>
                      <w:rFonts w:hint="default"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778" w:type="dxa"/>
                  <w:vMerge w:val="restart"/>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声级dB(A)</w:t>
                  </w:r>
                </w:p>
              </w:tc>
              <w:tc>
                <w:tcPr>
                  <w:tcW w:w="1026" w:type="dxa"/>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昼间（dB）</w:t>
                  </w:r>
                </w:p>
              </w:tc>
              <w:tc>
                <w:tcPr>
                  <w:tcW w:w="1113" w:type="dxa"/>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42.11</w:t>
                  </w:r>
                </w:p>
              </w:tc>
              <w:tc>
                <w:tcPr>
                  <w:tcW w:w="1159" w:type="dxa"/>
                  <w:shd w:val="clear" w:color="auto" w:fill="auto"/>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42.11</w:t>
                  </w:r>
                </w:p>
              </w:tc>
              <w:tc>
                <w:tcPr>
                  <w:tcW w:w="1177" w:type="dxa"/>
                  <w:shd w:val="clear" w:color="auto" w:fill="auto"/>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42.11</w:t>
                  </w:r>
                </w:p>
              </w:tc>
              <w:tc>
                <w:tcPr>
                  <w:tcW w:w="1004" w:type="dxa"/>
                  <w:shd w:val="clear" w:color="auto" w:fill="auto"/>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42.11</w:t>
                  </w:r>
                </w:p>
              </w:tc>
              <w:tc>
                <w:tcPr>
                  <w:tcW w:w="970" w:type="dxa"/>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55</w:t>
                  </w:r>
                </w:p>
              </w:tc>
              <w:tc>
                <w:tcPr>
                  <w:tcW w:w="992" w:type="dxa"/>
                  <w:noWrap w:val="0"/>
                  <w:vAlign w:val="center"/>
                </w:tcPr>
                <w:p>
                  <w:pPr>
                    <w:overflowPunct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778" w:type="dxa"/>
                  <w:vMerge w:val="continue"/>
                  <w:noWrap w:val="0"/>
                  <w:vAlign w:val="center"/>
                </w:tcPr>
                <w:p>
                  <w:pPr>
                    <w:adjustRightInd w:val="0"/>
                    <w:snapToGrid w:val="0"/>
                    <w:jc w:val="center"/>
                    <w:rPr>
                      <w:rFonts w:hint="default" w:ascii="Times New Roman" w:hAnsi="Times New Roman" w:cs="Times New Roman"/>
                      <w:color w:val="auto"/>
                      <w:sz w:val="21"/>
                      <w:szCs w:val="21"/>
                    </w:rPr>
                  </w:pPr>
                </w:p>
              </w:tc>
              <w:tc>
                <w:tcPr>
                  <w:tcW w:w="1026" w:type="dxa"/>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夜间（dB）</w:t>
                  </w:r>
                </w:p>
              </w:tc>
              <w:tc>
                <w:tcPr>
                  <w:tcW w:w="1113" w:type="dxa"/>
                  <w:noWrap w:val="0"/>
                  <w:vAlign w:val="center"/>
                </w:tcPr>
                <w:p>
                  <w:pPr>
                    <w:adjustRightInd w:val="0"/>
                    <w:snapToGrid w:val="0"/>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rPr>
                    <w:t>42.11</w:t>
                  </w:r>
                </w:p>
              </w:tc>
              <w:tc>
                <w:tcPr>
                  <w:tcW w:w="1159" w:type="dxa"/>
                  <w:shd w:val="clear" w:color="auto" w:fill="auto"/>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42.11</w:t>
                  </w:r>
                </w:p>
              </w:tc>
              <w:tc>
                <w:tcPr>
                  <w:tcW w:w="1177" w:type="dxa"/>
                  <w:shd w:val="clear" w:color="auto" w:fill="auto"/>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42.11</w:t>
                  </w:r>
                </w:p>
              </w:tc>
              <w:tc>
                <w:tcPr>
                  <w:tcW w:w="1004" w:type="dxa"/>
                  <w:shd w:val="clear" w:color="auto" w:fill="auto"/>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42.11</w:t>
                  </w:r>
                </w:p>
              </w:tc>
              <w:tc>
                <w:tcPr>
                  <w:tcW w:w="970" w:type="dxa"/>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45</w:t>
                  </w:r>
                </w:p>
              </w:tc>
              <w:tc>
                <w:tcPr>
                  <w:tcW w:w="992" w:type="dxa"/>
                  <w:noWrap w:val="0"/>
                  <w:vAlign w:val="center"/>
                </w:tcPr>
                <w:p>
                  <w:pPr>
                    <w:overflowPunct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_GB2312" w:cs="Times New Roman"/>
                <w:color w:val="auto"/>
                <w:kern w:val="0"/>
                <w:sz w:val="24"/>
                <w:szCs w:val="24"/>
                <w:highlight w:val="yellow"/>
                <w:lang w:val="en-US" w:eastAsia="zh-CN" w:bidi="ar-SA"/>
              </w:rPr>
            </w:pPr>
            <w:r>
              <w:rPr>
                <w:rFonts w:hint="default" w:ascii="Times New Roman" w:hAnsi="Times New Roman" w:eastAsia="仿宋_GB2312" w:cs="Times New Roman"/>
                <w:color w:val="auto"/>
                <w:kern w:val="0"/>
                <w:sz w:val="24"/>
                <w:szCs w:val="24"/>
                <w:highlight w:val="none"/>
                <w:lang w:val="en-US" w:eastAsia="zh-CN" w:bidi="ar-SA"/>
              </w:rPr>
              <w:t>综上所述，通过以上降噪措施，可以使厂界噪声达到《工业企业厂界环境噪声排放标准》（GB12348-2008）</w:t>
            </w:r>
            <w:r>
              <w:rPr>
                <w:rFonts w:hint="eastAsia" w:ascii="Times New Roman" w:hAnsi="Times New Roman" w:eastAsia="仿宋_GB2312" w:cs="Times New Roman"/>
                <w:color w:val="auto"/>
                <w:kern w:val="0"/>
                <w:sz w:val="24"/>
                <w:szCs w:val="24"/>
                <w:highlight w:val="none"/>
                <w:lang w:val="en-US" w:eastAsia="zh-CN" w:bidi="ar-SA"/>
              </w:rPr>
              <w:t>1</w:t>
            </w:r>
            <w:r>
              <w:rPr>
                <w:rFonts w:hint="default" w:ascii="Times New Roman" w:hAnsi="Times New Roman" w:eastAsia="仿宋_GB2312" w:cs="Times New Roman"/>
                <w:color w:val="auto"/>
                <w:kern w:val="0"/>
                <w:sz w:val="24"/>
                <w:szCs w:val="24"/>
                <w:highlight w:val="none"/>
                <w:lang w:val="en-US" w:eastAsia="zh-CN" w:bidi="ar-SA"/>
              </w:rPr>
              <w:t>类标准</w:t>
            </w:r>
            <w:r>
              <w:rPr>
                <w:rFonts w:hint="eastAsia" w:ascii="Times New Roman" w:hAnsi="Times New Roman" w:eastAsia="仿宋_GB2312" w:cs="Times New Roman"/>
                <w:color w:val="auto"/>
                <w:kern w:val="0"/>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_GB2312" w:cs="Times New Roman"/>
                <w:color w:val="auto"/>
                <w:kern w:val="0"/>
                <w:sz w:val="24"/>
                <w:szCs w:val="24"/>
                <w:lang w:val="en-US" w:eastAsia="zh-CN" w:bidi="ar-SA"/>
              </w:rPr>
            </w:pPr>
            <w:r>
              <w:rPr>
                <w:rFonts w:hint="default" w:ascii="Times New Roman" w:hAnsi="Times New Roman" w:eastAsia="仿宋_GB2312" w:cs="Times New Roman"/>
                <w:color w:val="auto"/>
                <w:kern w:val="0"/>
                <w:sz w:val="24"/>
                <w:szCs w:val="24"/>
                <w:lang w:val="en-US" w:eastAsia="zh-CN" w:bidi="ar-SA"/>
              </w:rPr>
              <w:t>为更进一步降低项目噪声对周边声环境的影响，项目须采取以下措施：①设备选型时优先选用振动小、噪声低的设备；②隔振基础，采用弹性支架，以减少振动、降低噪声；③采取设置绿化带、隔离带等绿化降噪措施；④对进入厂区的所有车辆实行禁鸣和限速，并对车流进行定向控制和分流。</w:t>
            </w:r>
          </w:p>
          <w:p>
            <w:pPr>
              <w:pStyle w:val="90"/>
              <w:keepNext w:val="0"/>
              <w:keepLines w:val="0"/>
              <w:pageBreakBefore w:val="0"/>
              <w:widowControl w:val="0"/>
              <w:kinsoku/>
              <w:wordWrap/>
              <w:overflowPunct/>
              <w:topLinePunct w:val="0"/>
              <w:autoSpaceDE/>
              <w:autoSpaceDN/>
              <w:bidi w:val="0"/>
              <w:adjustRightInd/>
              <w:snapToGrid/>
              <w:spacing w:line="360" w:lineRule="auto"/>
              <w:ind w:right="0"/>
              <w:jc w:val="both"/>
              <w:textAlignment w:val="auto"/>
              <w:rPr>
                <w:rFonts w:hint="eastAsia" w:ascii="Times New Roman" w:hAnsi="Times New Roman" w:eastAsia="仿宋_GB2312" w:cs="Times New Roman"/>
                <w:b/>
                <w:bCs/>
                <w:color w:val="auto"/>
                <w:spacing w:val="0"/>
                <w:kern w:val="2"/>
                <w:sz w:val="24"/>
                <w:szCs w:val="24"/>
                <w:highlight w:val="none"/>
                <w:lang w:val="en-US" w:eastAsia="zh-CN" w:bidi="ar-SA"/>
              </w:rPr>
            </w:pPr>
            <w:r>
              <w:rPr>
                <w:rFonts w:hint="eastAsia" w:ascii="Times New Roman" w:hAnsi="Times New Roman" w:eastAsia="仿宋_GB2312" w:cs="Times New Roman"/>
                <w:b/>
                <w:bCs/>
                <w:color w:val="auto"/>
                <w:spacing w:val="0"/>
                <w:kern w:val="2"/>
                <w:sz w:val="24"/>
                <w:szCs w:val="24"/>
                <w:highlight w:val="none"/>
                <w:lang w:val="en-US" w:eastAsia="zh-CN" w:bidi="ar-SA"/>
              </w:rPr>
              <w:t>3.4运营期噪声监测计划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仿宋_GB2312" w:cs="Times New Roman"/>
                <w:color w:val="auto"/>
                <w:kern w:val="0"/>
                <w:sz w:val="24"/>
                <w:szCs w:val="20"/>
                <w:lang w:val="en-US" w:eastAsia="zh-CN" w:bidi="ar-SA"/>
              </w:rPr>
            </w:pPr>
            <w:r>
              <w:rPr>
                <w:rFonts w:hint="eastAsia" w:ascii="Times New Roman" w:hAnsi="Times New Roman" w:eastAsia="仿宋_GB2312" w:cs="Times New Roman"/>
                <w:color w:val="auto"/>
                <w:kern w:val="0"/>
                <w:sz w:val="24"/>
                <w:szCs w:val="20"/>
                <w:lang w:val="en-US" w:eastAsia="zh-CN" w:bidi="ar-SA"/>
              </w:rPr>
              <w:t>对照《排污单位自行监测技术指南 总则》（HJ819-2017）中的有关规定，本项目营运期噪声监测计划见下表</w:t>
            </w:r>
            <w:r>
              <w:rPr>
                <w:rFonts w:hint="default" w:ascii="Times New Roman" w:hAnsi="Times New Roman" w:eastAsia="仿宋_GB2312" w:cs="Times New Roman"/>
                <w:color w:val="auto"/>
                <w:kern w:val="0"/>
                <w:sz w:val="24"/>
                <w:szCs w:val="20"/>
                <w:lang w:val="en-US" w:eastAsia="zh-CN" w:bidi="ar-SA"/>
              </w:rPr>
              <w:t>。</w:t>
            </w:r>
          </w:p>
          <w:p>
            <w:pPr>
              <w:keepNext w:val="0"/>
              <w:keepLines w:val="0"/>
              <w:pageBreakBefore w:val="0"/>
              <w:widowControl w:val="0"/>
              <w:kinsoku/>
              <w:wordWrap/>
              <w:overflowPunct/>
              <w:topLinePunct w:val="0"/>
              <w:autoSpaceDE w:val="0"/>
              <w:autoSpaceDN w:val="0"/>
              <w:bidi w:val="0"/>
              <w:adjustRightInd/>
              <w:snapToGrid/>
              <w:spacing w:line="240" w:lineRule="auto"/>
              <w:ind w:firstLine="481" w:firstLineChars="200"/>
              <w:jc w:val="both"/>
              <w:textAlignment w:val="auto"/>
              <w:rPr>
                <w:b/>
                <w:bCs/>
                <w:color w:val="auto"/>
                <w:sz w:val="24"/>
              </w:rPr>
            </w:pPr>
            <w:r>
              <w:rPr>
                <w:b/>
                <w:bCs/>
                <w:color w:val="auto"/>
                <w:sz w:val="24"/>
              </w:rPr>
              <w:t>表</w:t>
            </w:r>
            <w:r>
              <w:rPr>
                <w:rFonts w:hint="eastAsia"/>
                <w:b/>
                <w:bCs/>
                <w:color w:val="auto"/>
                <w:sz w:val="24"/>
                <w:lang w:val="en-US" w:eastAsia="zh-CN"/>
              </w:rPr>
              <w:t>40</w:t>
            </w:r>
            <w:r>
              <w:rPr>
                <w:b/>
                <w:bCs/>
                <w:color w:val="auto"/>
                <w:sz w:val="24"/>
              </w:rPr>
              <w:t xml:space="preserve">  </w:t>
            </w:r>
            <w:r>
              <w:rPr>
                <w:rFonts w:hint="eastAsia"/>
                <w:b/>
                <w:bCs/>
                <w:color w:val="auto"/>
                <w:sz w:val="24"/>
                <w:lang w:val="en-US" w:eastAsia="zh-CN"/>
              </w:rPr>
              <w:t xml:space="preserve">  </w:t>
            </w:r>
            <w:r>
              <w:rPr>
                <w:b/>
                <w:bCs/>
                <w:color w:val="auto"/>
                <w:sz w:val="24"/>
              </w:rPr>
              <w:t xml:space="preserve"> 项目运营期</w:t>
            </w:r>
            <w:r>
              <w:rPr>
                <w:rFonts w:hint="eastAsia"/>
                <w:b/>
                <w:bCs/>
                <w:color w:val="auto"/>
                <w:sz w:val="24"/>
              </w:rPr>
              <w:t>噪声</w:t>
            </w:r>
            <w:r>
              <w:rPr>
                <w:b/>
                <w:bCs/>
                <w:color w:val="auto"/>
                <w:sz w:val="24"/>
              </w:rPr>
              <w:t>监测计划表</w:t>
            </w:r>
          </w:p>
          <w:tbl>
            <w:tblPr>
              <w:tblStyle w:val="35"/>
              <w:tblW w:w="823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1428"/>
              <w:gridCol w:w="1415"/>
              <w:gridCol w:w="1413"/>
              <w:gridCol w:w="28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rPr>
                  </w:pPr>
                  <w:r>
                    <w:rPr>
                      <w:b/>
                      <w:bCs/>
                      <w:color w:val="auto"/>
                      <w:sz w:val="21"/>
                      <w:szCs w:val="21"/>
                    </w:rPr>
                    <w:t>监测要素</w:t>
                  </w:r>
                </w:p>
              </w:tc>
              <w:tc>
                <w:tcPr>
                  <w:tcW w:w="14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rPr>
                  </w:pPr>
                  <w:r>
                    <w:rPr>
                      <w:b/>
                      <w:bCs/>
                      <w:color w:val="auto"/>
                      <w:sz w:val="21"/>
                      <w:szCs w:val="21"/>
                    </w:rPr>
                    <w:t>监测点位</w:t>
                  </w:r>
                </w:p>
              </w:tc>
              <w:tc>
                <w:tcPr>
                  <w:tcW w:w="14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rPr>
                  </w:pPr>
                  <w:r>
                    <w:rPr>
                      <w:b/>
                      <w:bCs/>
                      <w:color w:val="auto"/>
                      <w:sz w:val="21"/>
                      <w:szCs w:val="21"/>
                    </w:rPr>
                    <w:t>监测项目</w:t>
                  </w:r>
                </w:p>
              </w:tc>
              <w:tc>
                <w:tcPr>
                  <w:tcW w:w="14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rPr>
                  </w:pPr>
                  <w:r>
                    <w:rPr>
                      <w:b/>
                      <w:bCs/>
                      <w:color w:val="auto"/>
                      <w:sz w:val="21"/>
                      <w:szCs w:val="21"/>
                    </w:rPr>
                    <w:t>监测频次</w:t>
                  </w:r>
                </w:p>
              </w:tc>
              <w:tc>
                <w:tcPr>
                  <w:tcW w:w="28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rPr>
                  </w:pPr>
                  <w:r>
                    <w:rPr>
                      <w:b/>
                      <w:bCs/>
                      <w:color w:val="auto"/>
                      <w:sz w:val="21"/>
                      <w:szCs w:val="21"/>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噪声</w:t>
                  </w:r>
                </w:p>
              </w:tc>
              <w:tc>
                <w:tcPr>
                  <w:tcW w:w="14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厂界外1m</w:t>
                  </w:r>
                </w:p>
              </w:tc>
              <w:tc>
                <w:tcPr>
                  <w:tcW w:w="14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等效连续A声级</w:t>
                  </w:r>
                </w:p>
              </w:tc>
              <w:tc>
                <w:tcPr>
                  <w:tcW w:w="14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1次/季，昼</w:t>
                  </w:r>
                  <w:r>
                    <w:rPr>
                      <w:rFonts w:hint="eastAsia"/>
                      <w:color w:val="auto"/>
                      <w:sz w:val="21"/>
                      <w:szCs w:val="21"/>
                      <w:lang w:eastAsia="zh-CN"/>
                    </w:rPr>
                    <w:t>间监测</w:t>
                  </w:r>
                  <w:r>
                    <w:rPr>
                      <w:color w:val="auto"/>
                      <w:sz w:val="21"/>
                      <w:szCs w:val="21"/>
                    </w:rPr>
                    <w:t>，连续监测2天</w:t>
                  </w:r>
                </w:p>
              </w:tc>
              <w:tc>
                <w:tcPr>
                  <w:tcW w:w="28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《工业企业厂界环境噪声排放标准》（GB12348-2008）中的</w:t>
                  </w:r>
                  <w:r>
                    <w:rPr>
                      <w:rFonts w:hint="eastAsia"/>
                      <w:color w:val="auto"/>
                      <w:sz w:val="21"/>
                      <w:szCs w:val="21"/>
                      <w:lang w:val="en-US" w:eastAsia="zh-CN"/>
                    </w:rPr>
                    <w:t>1</w:t>
                  </w:r>
                  <w:r>
                    <w:rPr>
                      <w:color w:val="auto"/>
                      <w:sz w:val="21"/>
                      <w:szCs w:val="21"/>
                    </w:rPr>
                    <w:t>类标准</w:t>
                  </w:r>
                </w:p>
              </w:tc>
            </w:tr>
          </w:tbl>
          <w:p>
            <w:pPr>
              <w:pStyle w:val="90"/>
              <w:keepNext w:val="0"/>
              <w:keepLines w:val="0"/>
              <w:pageBreakBefore w:val="0"/>
              <w:widowControl w:val="0"/>
              <w:kinsoku/>
              <w:wordWrap/>
              <w:overflowPunct/>
              <w:topLinePunct w:val="0"/>
              <w:autoSpaceDE/>
              <w:autoSpaceDN/>
              <w:bidi w:val="0"/>
              <w:adjustRightInd/>
              <w:snapToGrid/>
              <w:spacing w:line="360" w:lineRule="auto"/>
              <w:ind w:right="0"/>
              <w:jc w:val="both"/>
              <w:textAlignment w:val="auto"/>
              <w:rPr>
                <w:rFonts w:hint="default" w:ascii="Times New Roman" w:hAnsi="Times New Roman" w:eastAsia="仿宋_GB2312" w:cs="Times New Roman"/>
                <w:b/>
                <w:bCs/>
                <w:color w:val="auto"/>
                <w:spacing w:val="0"/>
                <w:kern w:val="2"/>
                <w:sz w:val="24"/>
                <w:szCs w:val="24"/>
                <w:highlight w:val="none"/>
                <w:lang w:val="en-US" w:eastAsia="zh-CN" w:bidi="ar-SA"/>
              </w:rPr>
            </w:pPr>
            <w:r>
              <w:rPr>
                <w:rFonts w:hint="eastAsia" w:ascii="Times New Roman" w:hAnsi="Times New Roman" w:eastAsia="仿宋_GB2312" w:cs="Times New Roman"/>
                <w:b/>
                <w:bCs/>
                <w:color w:val="auto"/>
                <w:spacing w:val="0"/>
                <w:kern w:val="2"/>
                <w:sz w:val="24"/>
                <w:szCs w:val="24"/>
                <w:highlight w:val="none"/>
                <w:lang w:val="en-US" w:eastAsia="zh-CN" w:bidi="ar-SA"/>
              </w:rPr>
              <w:t>4.</w:t>
            </w:r>
            <w:r>
              <w:rPr>
                <w:rFonts w:hint="default" w:ascii="Times New Roman" w:hAnsi="Times New Roman" w:eastAsia="仿宋_GB2312" w:cs="Times New Roman"/>
                <w:b/>
                <w:bCs/>
                <w:color w:val="auto"/>
                <w:spacing w:val="0"/>
                <w:kern w:val="2"/>
                <w:sz w:val="24"/>
                <w:szCs w:val="24"/>
                <w:highlight w:val="none"/>
                <w:lang w:val="en-US" w:eastAsia="zh-CN" w:bidi="ar-SA"/>
              </w:rPr>
              <w:t>固体废物环境影响分析</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仿宋_GB2312" w:cs="Times New Roman"/>
                <w:color w:val="auto"/>
                <w:spacing w:val="0"/>
                <w:kern w:val="2"/>
                <w:sz w:val="24"/>
                <w:szCs w:val="24"/>
                <w:highlight w:val="none"/>
                <w:lang w:val="en-US" w:eastAsia="zh-CN" w:bidi="ar-SA"/>
              </w:rPr>
            </w:pPr>
            <w:r>
              <w:rPr>
                <w:rFonts w:hint="default" w:ascii="Times New Roman" w:hAnsi="Times New Roman" w:eastAsia="仿宋_GB2312" w:cs="Times New Roman"/>
                <w:color w:val="auto"/>
                <w:spacing w:val="0"/>
                <w:kern w:val="2"/>
                <w:sz w:val="24"/>
                <w:szCs w:val="24"/>
                <w:highlight w:val="none"/>
                <w:lang w:val="en-US" w:eastAsia="zh-CN" w:bidi="ar-SA"/>
              </w:rPr>
              <w:t>本项目产生</w:t>
            </w:r>
            <w:r>
              <w:rPr>
                <w:rFonts w:hint="eastAsia" w:ascii="Times New Roman" w:hAnsi="Times New Roman" w:eastAsia="仿宋_GB2312" w:cs="Times New Roman"/>
                <w:color w:val="auto"/>
                <w:spacing w:val="0"/>
                <w:kern w:val="2"/>
                <w:sz w:val="24"/>
                <w:szCs w:val="24"/>
                <w:highlight w:val="none"/>
                <w:lang w:val="en-US" w:eastAsia="zh-CN" w:bidi="ar-SA"/>
              </w:rPr>
              <w:t>固体废物主要为废包装材料、生活垃圾、废弃菌棒。</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仿宋_GB2312" w:cs="Times New Roman"/>
                <w:color w:val="auto"/>
                <w:spacing w:val="0"/>
                <w:kern w:val="2"/>
                <w:sz w:val="24"/>
                <w:szCs w:val="24"/>
                <w:highlight w:val="none"/>
                <w:lang w:val="en-US" w:eastAsia="zh-CN" w:bidi="ar-SA"/>
              </w:rPr>
            </w:pPr>
            <w:r>
              <w:rPr>
                <w:rFonts w:hint="default" w:ascii="Times New Roman" w:hAnsi="Times New Roman" w:eastAsia="仿宋_GB2312" w:cs="Times New Roman"/>
                <w:color w:val="auto"/>
                <w:spacing w:val="0"/>
                <w:kern w:val="2"/>
                <w:sz w:val="24"/>
                <w:szCs w:val="24"/>
                <w:highlight w:val="none"/>
                <w:lang w:val="en-US" w:eastAsia="zh-CN" w:bidi="ar-SA"/>
              </w:rPr>
              <w:t xml:space="preserve">（1）废包装材料：根据建设单位提供的资料，本项目废包装材料产生量约为12t/a，集中收集后外售资源回收单位综合利用。 </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仿宋_GB2312" w:cs="Times New Roman"/>
                <w:color w:val="auto"/>
                <w:spacing w:val="0"/>
                <w:kern w:val="2"/>
                <w:sz w:val="24"/>
                <w:szCs w:val="24"/>
                <w:highlight w:val="none"/>
                <w:lang w:val="en-US" w:eastAsia="zh-CN" w:bidi="ar-SA"/>
              </w:rPr>
            </w:pPr>
            <w:r>
              <w:rPr>
                <w:rFonts w:hint="default" w:ascii="Times New Roman" w:hAnsi="Times New Roman" w:eastAsia="仿宋_GB2312" w:cs="Times New Roman"/>
                <w:color w:val="auto"/>
                <w:spacing w:val="0"/>
                <w:kern w:val="2"/>
                <w:sz w:val="24"/>
                <w:szCs w:val="24"/>
                <w:highlight w:val="none"/>
                <w:lang w:val="en-US" w:eastAsia="zh-CN" w:bidi="ar-SA"/>
              </w:rPr>
              <w:t>（</w:t>
            </w:r>
            <w:r>
              <w:rPr>
                <w:rFonts w:hint="eastAsia" w:ascii="Times New Roman" w:hAnsi="Times New Roman" w:eastAsia="仿宋_GB2312" w:cs="Times New Roman"/>
                <w:color w:val="auto"/>
                <w:spacing w:val="0"/>
                <w:kern w:val="2"/>
                <w:sz w:val="24"/>
                <w:szCs w:val="24"/>
                <w:highlight w:val="none"/>
                <w:lang w:val="en-US" w:eastAsia="zh-CN" w:bidi="ar-SA"/>
              </w:rPr>
              <w:t>2</w:t>
            </w:r>
            <w:r>
              <w:rPr>
                <w:rFonts w:hint="default" w:ascii="Times New Roman" w:hAnsi="Times New Roman" w:eastAsia="仿宋_GB2312" w:cs="Times New Roman"/>
                <w:color w:val="auto"/>
                <w:spacing w:val="0"/>
                <w:kern w:val="2"/>
                <w:sz w:val="24"/>
                <w:szCs w:val="24"/>
                <w:highlight w:val="none"/>
                <w:lang w:val="en-US" w:eastAsia="zh-CN" w:bidi="ar-SA"/>
              </w:rPr>
              <w:t>）生活垃圾：本项目职工</w:t>
            </w:r>
            <w:r>
              <w:rPr>
                <w:rFonts w:hint="eastAsia" w:ascii="Times New Roman" w:hAnsi="Times New Roman" w:eastAsia="仿宋_GB2312" w:cs="Times New Roman"/>
                <w:color w:val="auto"/>
                <w:spacing w:val="0"/>
                <w:kern w:val="2"/>
                <w:sz w:val="24"/>
                <w:szCs w:val="24"/>
                <w:highlight w:val="none"/>
                <w:lang w:val="en-US" w:eastAsia="zh-CN" w:bidi="ar-SA"/>
              </w:rPr>
              <w:t>100</w:t>
            </w:r>
            <w:r>
              <w:rPr>
                <w:rFonts w:hint="default" w:ascii="Times New Roman" w:hAnsi="Times New Roman" w:eastAsia="仿宋_GB2312" w:cs="Times New Roman"/>
                <w:color w:val="auto"/>
                <w:spacing w:val="0"/>
                <w:kern w:val="2"/>
                <w:sz w:val="24"/>
                <w:szCs w:val="24"/>
                <w:highlight w:val="none"/>
                <w:lang w:val="en-US" w:eastAsia="zh-CN" w:bidi="ar-SA"/>
              </w:rPr>
              <w:t>人，按每人每天产生量0.5kg计算，产生量约为</w:t>
            </w:r>
            <w:r>
              <w:rPr>
                <w:rFonts w:hint="eastAsia" w:ascii="Times New Roman" w:hAnsi="Times New Roman" w:eastAsia="仿宋_GB2312" w:cs="Times New Roman"/>
                <w:color w:val="auto"/>
                <w:spacing w:val="0"/>
                <w:kern w:val="2"/>
                <w:sz w:val="24"/>
                <w:szCs w:val="24"/>
                <w:highlight w:val="none"/>
                <w:lang w:val="en-US" w:eastAsia="zh-CN" w:bidi="ar-SA"/>
              </w:rPr>
              <w:t>16.5</w:t>
            </w:r>
            <w:r>
              <w:rPr>
                <w:rFonts w:hint="default" w:ascii="Times New Roman" w:hAnsi="Times New Roman" w:eastAsia="仿宋_GB2312" w:cs="Times New Roman"/>
                <w:color w:val="auto"/>
                <w:spacing w:val="0"/>
                <w:kern w:val="2"/>
                <w:sz w:val="24"/>
                <w:szCs w:val="24"/>
                <w:highlight w:val="none"/>
                <w:lang w:val="en-US" w:eastAsia="zh-CN" w:bidi="ar-SA"/>
              </w:rPr>
              <w:t>t/a，集中收集后交环卫部门统一清运处理。</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仿宋_GB2312" w:cs="Times New Roman"/>
                <w:color w:val="auto"/>
                <w:spacing w:val="0"/>
                <w:kern w:val="2"/>
                <w:sz w:val="24"/>
                <w:szCs w:val="24"/>
                <w:highlight w:val="none"/>
                <w:lang w:val="en-US" w:eastAsia="zh-CN" w:bidi="ar-SA"/>
              </w:rPr>
            </w:pPr>
            <w:r>
              <w:rPr>
                <w:rFonts w:hint="eastAsia" w:ascii="Times New Roman" w:hAnsi="Times New Roman" w:eastAsia="仿宋_GB2312" w:cs="Times New Roman"/>
                <w:color w:val="auto"/>
                <w:spacing w:val="0"/>
                <w:kern w:val="2"/>
                <w:sz w:val="24"/>
                <w:szCs w:val="24"/>
                <w:highlight w:val="none"/>
                <w:lang w:val="en-US" w:eastAsia="zh-CN" w:bidi="ar-SA"/>
              </w:rPr>
              <w:t>（3）废弃菌棒</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仿宋_GB2312" w:cs="Times New Roman"/>
                <w:color w:val="auto"/>
                <w:spacing w:val="0"/>
                <w:kern w:val="2"/>
                <w:sz w:val="24"/>
                <w:szCs w:val="24"/>
                <w:highlight w:val="none"/>
                <w:lang w:val="en-US" w:eastAsia="zh-CN" w:bidi="ar-SA"/>
              </w:rPr>
            </w:pPr>
            <w:r>
              <w:rPr>
                <w:rFonts w:hint="default" w:ascii="Times New Roman" w:hAnsi="Times New Roman" w:eastAsia="仿宋_GB2312" w:cs="Times New Roman"/>
                <w:color w:val="auto"/>
                <w:spacing w:val="0"/>
                <w:kern w:val="2"/>
                <w:sz w:val="24"/>
                <w:szCs w:val="24"/>
                <w:highlight w:val="none"/>
                <w:lang w:val="en-US" w:eastAsia="zh-CN" w:bidi="ar-SA"/>
              </w:rPr>
              <w:t>种植区废弃菌棒年产生量约</w:t>
            </w:r>
            <w:r>
              <w:rPr>
                <w:rFonts w:hint="eastAsia" w:ascii="Times New Roman" w:hAnsi="Times New Roman" w:eastAsia="仿宋_GB2312" w:cs="Times New Roman"/>
                <w:color w:val="auto"/>
                <w:spacing w:val="0"/>
                <w:kern w:val="2"/>
                <w:sz w:val="24"/>
                <w:szCs w:val="24"/>
                <w:highlight w:val="none"/>
                <w:lang w:val="en-US" w:eastAsia="zh-CN" w:bidi="ar-SA"/>
              </w:rPr>
              <w:t>1500</w:t>
            </w:r>
            <w:r>
              <w:rPr>
                <w:rFonts w:hint="default" w:ascii="Times New Roman" w:hAnsi="Times New Roman" w:eastAsia="仿宋_GB2312" w:cs="Times New Roman"/>
                <w:color w:val="auto"/>
                <w:spacing w:val="0"/>
                <w:kern w:val="2"/>
                <w:sz w:val="24"/>
                <w:szCs w:val="24"/>
                <w:highlight w:val="none"/>
                <w:lang w:val="en-US" w:eastAsia="zh-CN" w:bidi="ar-SA"/>
              </w:rPr>
              <w:t>t，集中收集外售综合利用</w:t>
            </w:r>
            <w:r>
              <w:rPr>
                <w:rFonts w:hint="eastAsia" w:ascii="Times New Roman" w:hAnsi="Times New Roman" w:eastAsia="仿宋_GB2312" w:cs="Times New Roman"/>
                <w:color w:val="auto"/>
                <w:spacing w:val="0"/>
                <w:kern w:val="2"/>
                <w:sz w:val="24"/>
                <w:szCs w:val="24"/>
                <w:highlight w:val="none"/>
                <w:lang w:val="en-US" w:eastAsia="zh-CN" w:bidi="ar-SA"/>
              </w:rPr>
              <w:t>。</w:t>
            </w:r>
          </w:p>
          <w:p>
            <w:pPr>
              <w:pStyle w:val="90"/>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仿宋_GB2312" w:cs="Times New Roman"/>
                <w:b/>
                <w:bCs/>
                <w:color w:val="auto"/>
                <w:spacing w:val="0"/>
                <w:kern w:val="2"/>
                <w:sz w:val="24"/>
                <w:szCs w:val="24"/>
                <w:highlight w:val="none"/>
                <w:lang w:val="en-US" w:eastAsia="zh-CN" w:bidi="ar-SA"/>
              </w:rPr>
            </w:pPr>
            <w:r>
              <w:rPr>
                <w:rFonts w:hint="eastAsia" w:ascii="Times New Roman" w:hAnsi="Times New Roman" w:eastAsia="仿宋_GB2312" w:cs="Times New Roman"/>
                <w:b/>
                <w:bCs/>
                <w:color w:val="auto"/>
                <w:spacing w:val="0"/>
                <w:kern w:val="2"/>
                <w:sz w:val="24"/>
                <w:szCs w:val="24"/>
                <w:highlight w:val="none"/>
                <w:lang w:val="en-US" w:eastAsia="zh-CN" w:bidi="ar-SA"/>
              </w:rPr>
              <w:t>4.1</w:t>
            </w:r>
            <w:r>
              <w:rPr>
                <w:rFonts w:hint="default" w:ascii="Times New Roman" w:hAnsi="Times New Roman" w:eastAsia="仿宋_GB2312" w:cs="Times New Roman"/>
                <w:b/>
                <w:bCs/>
                <w:color w:val="auto"/>
                <w:spacing w:val="0"/>
                <w:kern w:val="2"/>
                <w:sz w:val="24"/>
                <w:szCs w:val="24"/>
                <w:highlight w:val="none"/>
                <w:lang w:val="en-US" w:eastAsia="zh-CN" w:bidi="ar-SA"/>
              </w:rPr>
              <w:t>环境管理要求</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仿宋_GB2312" w:cs="Times New Roman"/>
                <w:color w:val="auto"/>
                <w:spacing w:val="0"/>
                <w:kern w:val="2"/>
                <w:sz w:val="24"/>
                <w:szCs w:val="24"/>
                <w:highlight w:val="none"/>
                <w:lang w:val="en-US" w:eastAsia="zh-CN" w:bidi="ar-SA"/>
              </w:rPr>
            </w:pPr>
            <w:r>
              <w:rPr>
                <w:rFonts w:hint="eastAsia" w:ascii="Times New Roman" w:hAnsi="Times New Roman" w:eastAsia="仿宋_GB2312" w:cs="Times New Roman"/>
                <w:color w:val="auto"/>
                <w:spacing w:val="0"/>
                <w:kern w:val="2"/>
                <w:sz w:val="24"/>
                <w:szCs w:val="24"/>
                <w:highlight w:val="none"/>
                <w:lang w:val="en-US" w:eastAsia="zh-CN" w:bidi="ar-SA"/>
              </w:rPr>
              <w:t>①对一般固体废物、生活垃圾实行从产生、运输直至最终处理实行全过程管理，加强固体废物运输过程的事故风险防范，按照《</w:t>
            </w:r>
            <w:r>
              <w:rPr>
                <w:rFonts w:hint="default" w:ascii="Times New Roman" w:hAnsi="Times New Roman" w:eastAsia="仿宋_GB2312" w:cs="Times New Roman"/>
                <w:color w:val="auto"/>
                <w:spacing w:val="0"/>
                <w:kern w:val="2"/>
                <w:sz w:val="24"/>
                <w:szCs w:val="24"/>
                <w:highlight w:val="none"/>
                <w:lang w:val="en" w:eastAsia="zh-CN" w:bidi="ar-SA"/>
              </w:rPr>
              <w:t>中华人民共和国固体废物污染环境防治法</w:t>
            </w:r>
            <w:r>
              <w:rPr>
                <w:rFonts w:hint="eastAsia" w:ascii="Times New Roman" w:hAnsi="Times New Roman" w:eastAsia="仿宋_GB2312" w:cs="Times New Roman"/>
                <w:color w:val="auto"/>
                <w:spacing w:val="0"/>
                <w:kern w:val="2"/>
                <w:sz w:val="24"/>
                <w:szCs w:val="24"/>
                <w:highlight w:val="none"/>
                <w:lang w:val="en-US" w:eastAsia="zh-CN" w:bidi="ar-SA"/>
              </w:rPr>
              <w:t>》的要求，对固体废弃物全过程管理应报当地环保行政主管部门等批准。</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仿宋_GB2312" w:cs="Times New Roman"/>
                <w:color w:val="auto"/>
                <w:spacing w:val="0"/>
                <w:kern w:val="2"/>
                <w:sz w:val="24"/>
                <w:szCs w:val="24"/>
                <w:highlight w:val="none"/>
                <w:lang w:val="en-US" w:eastAsia="zh-CN" w:bidi="ar-SA"/>
              </w:rPr>
            </w:pPr>
            <w:r>
              <w:rPr>
                <w:rFonts w:hint="eastAsia" w:ascii="Times New Roman" w:hAnsi="Times New Roman" w:eastAsia="仿宋_GB2312" w:cs="Times New Roman"/>
                <w:color w:val="auto"/>
                <w:spacing w:val="0"/>
                <w:kern w:val="2"/>
                <w:sz w:val="24"/>
                <w:szCs w:val="24"/>
                <w:highlight w:val="none"/>
                <w:lang w:val="en-US" w:eastAsia="zh-CN" w:bidi="ar-SA"/>
              </w:rPr>
              <w:t>②本次评价要求建设单位设置生活垃圾箱，确保生活垃圾不随意丢弃，污染周边环境。生活垃圾及时清运，避免长期堆存产生二次污染。</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仿宋_GB2312" w:cs="Times New Roman"/>
                <w:color w:val="auto"/>
                <w:spacing w:val="0"/>
                <w:kern w:val="2"/>
                <w:sz w:val="24"/>
                <w:szCs w:val="24"/>
                <w:highlight w:val="none"/>
                <w:lang w:val="en-US" w:eastAsia="zh-CN" w:bidi="ar-SA"/>
              </w:rPr>
            </w:pPr>
            <w:r>
              <w:rPr>
                <w:rFonts w:hint="eastAsia" w:ascii="Times New Roman" w:hAnsi="Times New Roman" w:eastAsia="仿宋_GB2312" w:cs="Times New Roman"/>
                <w:color w:val="auto"/>
                <w:spacing w:val="0"/>
                <w:kern w:val="2"/>
                <w:sz w:val="24"/>
                <w:szCs w:val="24"/>
                <w:highlight w:val="none"/>
                <w:lang w:val="en-US" w:eastAsia="zh-CN" w:bidi="ar-SA"/>
              </w:rPr>
              <w:t>③要求设置一般固体废物贮存堆放场所，定期组织对各类固体废物进行处理。</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仿宋_GB2312" w:cs="Times New Roman"/>
                <w:color w:val="auto"/>
                <w:spacing w:val="0"/>
                <w:kern w:val="2"/>
                <w:sz w:val="24"/>
                <w:szCs w:val="24"/>
                <w:highlight w:val="none"/>
                <w:lang w:val="en-US" w:eastAsia="zh-CN" w:bidi="ar-SA"/>
              </w:rPr>
            </w:pPr>
            <w:r>
              <w:rPr>
                <w:rFonts w:hint="eastAsia" w:ascii="Times New Roman" w:hAnsi="Times New Roman" w:eastAsia="仿宋_GB2312" w:cs="Times New Roman"/>
                <w:color w:val="auto"/>
                <w:spacing w:val="0"/>
                <w:kern w:val="2"/>
                <w:sz w:val="24"/>
                <w:szCs w:val="24"/>
                <w:highlight w:val="none"/>
                <w:lang w:val="en-US" w:eastAsia="zh-CN" w:bidi="ar-SA"/>
              </w:rPr>
              <w:t>④本项目运营期应按照《排污单位自行监测技术指南总则》（HJ819-2017）要求记录一般工业废物的产生量、综合利用量、处置量、贮存量。应详细记录其去向。</w:t>
            </w:r>
          </w:p>
          <w:p>
            <w:pPr>
              <w:pStyle w:val="90"/>
              <w:keepNext w:val="0"/>
              <w:keepLines w:val="0"/>
              <w:pageBreakBefore w:val="0"/>
              <w:widowControl w:val="0"/>
              <w:kinsoku/>
              <w:wordWrap/>
              <w:overflowPunct/>
              <w:topLinePunct w:val="0"/>
              <w:autoSpaceDE/>
              <w:autoSpaceDN/>
              <w:bidi w:val="0"/>
              <w:adjustRightInd/>
              <w:snapToGrid/>
              <w:spacing w:line="360" w:lineRule="auto"/>
              <w:ind w:right="0"/>
              <w:jc w:val="both"/>
              <w:textAlignment w:val="auto"/>
              <w:rPr>
                <w:rFonts w:hint="default" w:ascii="Times New Roman" w:hAnsi="Times New Roman" w:eastAsia="仿宋_GB2312" w:cs="Times New Roman"/>
                <w:b/>
                <w:bCs/>
                <w:color w:val="auto"/>
                <w:spacing w:val="0"/>
                <w:kern w:val="2"/>
                <w:sz w:val="24"/>
                <w:szCs w:val="24"/>
                <w:highlight w:val="none"/>
                <w:lang w:val="en-US" w:eastAsia="zh-CN" w:bidi="ar-SA"/>
              </w:rPr>
            </w:pPr>
            <w:r>
              <w:rPr>
                <w:rFonts w:hint="eastAsia" w:ascii="Times New Roman" w:hAnsi="Times New Roman" w:eastAsia="仿宋_GB2312" w:cs="Times New Roman"/>
                <w:b/>
                <w:bCs/>
                <w:color w:val="auto"/>
                <w:spacing w:val="0"/>
                <w:kern w:val="2"/>
                <w:sz w:val="24"/>
                <w:szCs w:val="24"/>
                <w:highlight w:val="none"/>
                <w:lang w:val="en-US" w:eastAsia="zh-CN" w:bidi="ar-SA"/>
              </w:rPr>
              <w:t>5.</w:t>
            </w:r>
            <w:r>
              <w:rPr>
                <w:rFonts w:hint="default" w:ascii="Times New Roman" w:hAnsi="Times New Roman" w:eastAsia="仿宋_GB2312" w:cs="Times New Roman"/>
                <w:b/>
                <w:bCs/>
                <w:color w:val="auto"/>
                <w:spacing w:val="0"/>
                <w:kern w:val="2"/>
                <w:sz w:val="24"/>
                <w:szCs w:val="24"/>
                <w:highlight w:val="none"/>
                <w:lang w:val="en-US" w:eastAsia="zh-CN" w:bidi="ar-SA"/>
              </w:rPr>
              <w:t>地下水、土壤环境影响分析</w:t>
            </w:r>
          </w:p>
          <w:p>
            <w:pPr>
              <w:pStyle w:val="42"/>
              <w:keepNext w:val="0"/>
              <w:keepLines w:val="0"/>
              <w:pageBreakBefore w:val="0"/>
              <w:widowControl w:val="0"/>
              <w:kinsoku/>
              <w:wordWrap/>
              <w:overflowPunct/>
              <w:topLinePunct w:val="0"/>
              <w:autoSpaceDE/>
              <w:autoSpaceDN/>
              <w:bidi w:val="0"/>
              <w:spacing w:line="360" w:lineRule="auto"/>
              <w:ind w:left="0" w:leftChars="0"/>
              <w:textAlignment w:val="auto"/>
              <w:rPr>
                <w:rFonts w:hint="default" w:ascii="Times New Roman" w:hAnsi="Times New Roman" w:eastAsia="仿宋_GB2312" w:cs="Times New Roman"/>
                <w:color w:val="auto"/>
                <w:spacing w:val="0"/>
                <w:kern w:val="2"/>
                <w:sz w:val="24"/>
                <w:szCs w:val="24"/>
                <w:highlight w:val="none"/>
                <w:lang w:val="en-US" w:eastAsia="zh-CN" w:bidi="ar-SA"/>
              </w:rPr>
            </w:pPr>
            <w:r>
              <w:rPr>
                <w:rFonts w:hint="default" w:ascii="Times New Roman" w:hAnsi="Times New Roman" w:eastAsia="仿宋_GB2312" w:cs="Times New Roman"/>
                <w:color w:val="auto"/>
                <w:spacing w:val="0"/>
                <w:kern w:val="2"/>
                <w:sz w:val="24"/>
                <w:szCs w:val="24"/>
                <w:highlight w:val="none"/>
                <w:lang w:val="en-US" w:eastAsia="zh-CN" w:bidi="ar-SA"/>
              </w:rPr>
              <w:t>本项目运营期正常状况下对区域地下水及土壤环境不产生影响；</w:t>
            </w:r>
            <w:r>
              <w:rPr>
                <w:rFonts w:hint="eastAsia" w:ascii="Times New Roman" w:hAnsi="Times New Roman" w:eastAsia="仿宋_GB2312" w:cs="Times New Roman"/>
                <w:color w:val="auto"/>
                <w:sz w:val="24"/>
                <w:szCs w:val="22"/>
                <w:lang w:val="en-US" w:eastAsia="zh-CN"/>
              </w:rPr>
              <w:t>厂区通过采取相应的防渗措施后，可有效阻隔对土壤及地下水的污染途径，</w:t>
            </w:r>
            <w:r>
              <w:rPr>
                <w:rFonts w:hint="default" w:ascii="Times New Roman" w:hAnsi="Times New Roman" w:eastAsia="仿宋_GB2312" w:cs="Times New Roman"/>
                <w:color w:val="auto"/>
                <w:kern w:val="0"/>
                <w:sz w:val="24"/>
                <w:szCs w:val="24"/>
                <w:highlight w:val="none"/>
                <w:lang w:val="en-US" w:eastAsia="zh-CN"/>
              </w:rPr>
              <w:t>本项目运营期不存在土壤、地下水污染途径，因此不对土壤和地下水环境影响进行分析</w:t>
            </w:r>
            <w:r>
              <w:rPr>
                <w:rFonts w:hint="default" w:ascii="Times New Roman" w:hAnsi="Times New Roman" w:eastAsia="仿宋_GB2312" w:cs="Times New Roman"/>
                <w:color w:val="auto"/>
                <w:sz w:val="24"/>
                <w:szCs w:val="24"/>
                <w:lang w:eastAsia="zh-CN"/>
              </w:rPr>
              <w:t>。</w:t>
            </w:r>
          </w:p>
          <w:p>
            <w:pPr>
              <w:pStyle w:val="90"/>
              <w:keepNext w:val="0"/>
              <w:keepLines w:val="0"/>
              <w:pageBreakBefore w:val="0"/>
              <w:widowControl w:val="0"/>
              <w:kinsoku/>
              <w:wordWrap/>
              <w:overflowPunct/>
              <w:topLinePunct w:val="0"/>
              <w:autoSpaceDE/>
              <w:autoSpaceDN/>
              <w:bidi w:val="0"/>
              <w:adjustRightInd/>
              <w:snapToGrid/>
              <w:spacing w:line="360" w:lineRule="auto"/>
              <w:ind w:right="0"/>
              <w:jc w:val="both"/>
              <w:textAlignment w:val="auto"/>
              <w:rPr>
                <w:rFonts w:hint="default" w:ascii="Times New Roman" w:hAnsi="Times New Roman" w:eastAsia="仿宋_GB2312" w:cs="Times New Roman"/>
                <w:b/>
                <w:bCs/>
                <w:color w:val="auto"/>
                <w:spacing w:val="0"/>
                <w:kern w:val="2"/>
                <w:sz w:val="24"/>
                <w:szCs w:val="24"/>
                <w:highlight w:val="none"/>
                <w:lang w:val="en-US" w:eastAsia="zh-CN" w:bidi="ar-SA"/>
              </w:rPr>
            </w:pPr>
            <w:r>
              <w:rPr>
                <w:rFonts w:hint="default" w:ascii="Times New Roman" w:hAnsi="Times New Roman" w:eastAsia="仿宋_GB2312" w:cs="Times New Roman"/>
                <w:b/>
                <w:bCs/>
                <w:color w:val="auto"/>
                <w:spacing w:val="0"/>
                <w:kern w:val="2"/>
                <w:sz w:val="24"/>
                <w:szCs w:val="24"/>
                <w:highlight w:val="none"/>
                <w:lang w:val="en-US" w:eastAsia="zh-CN" w:bidi="ar-SA"/>
              </w:rPr>
              <w:t>4、生态影响分析</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仿宋_GB2312" w:cs="Times New Roman"/>
                <w:color w:val="auto"/>
                <w:spacing w:val="0"/>
                <w:kern w:val="2"/>
                <w:sz w:val="24"/>
                <w:szCs w:val="24"/>
                <w:highlight w:val="none"/>
                <w:lang w:val="en-US" w:eastAsia="zh-CN" w:bidi="ar-SA"/>
              </w:rPr>
            </w:pPr>
            <w:r>
              <w:rPr>
                <w:rFonts w:hint="default" w:ascii="Times New Roman" w:hAnsi="Times New Roman" w:eastAsia="仿宋_GB2312" w:cs="Times New Roman"/>
                <w:color w:val="auto"/>
                <w:spacing w:val="0"/>
                <w:kern w:val="2"/>
                <w:sz w:val="24"/>
                <w:szCs w:val="24"/>
                <w:highlight w:val="none"/>
                <w:lang w:val="en-US" w:eastAsia="zh-CN" w:bidi="ar-SA"/>
              </w:rPr>
              <w:t>（</w:t>
            </w:r>
            <w:r>
              <w:rPr>
                <w:rFonts w:hint="eastAsia" w:ascii="Times New Roman" w:hAnsi="Times New Roman" w:eastAsia="仿宋_GB2312" w:cs="Times New Roman"/>
                <w:color w:val="auto"/>
                <w:spacing w:val="0"/>
                <w:kern w:val="2"/>
                <w:sz w:val="24"/>
                <w:szCs w:val="24"/>
                <w:highlight w:val="none"/>
                <w:lang w:val="en-US" w:eastAsia="zh-CN" w:bidi="ar-SA"/>
              </w:rPr>
              <w:t>1</w:t>
            </w:r>
            <w:r>
              <w:rPr>
                <w:rFonts w:hint="default" w:ascii="Times New Roman" w:hAnsi="Times New Roman" w:eastAsia="仿宋_GB2312" w:cs="Times New Roman"/>
                <w:color w:val="auto"/>
                <w:spacing w:val="0"/>
                <w:kern w:val="2"/>
                <w:sz w:val="24"/>
                <w:szCs w:val="24"/>
                <w:highlight w:val="none"/>
                <w:lang w:val="en-US" w:eastAsia="zh-CN" w:bidi="ar-SA"/>
              </w:rPr>
              <w:t xml:space="preserve">）野生动物影响分析 </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仿宋_GB2312" w:cs="Times New Roman"/>
                <w:color w:val="auto"/>
                <w:spacing w:val="0"/>
                <w:kern w:val="2"/>
                <w:sz w:val="24"/>
                <w:szCs w:val="24"/>
                <w:highlight w:val="none"/>
                <w:lang w:val="en-US" w:eastAsia="zh-CN" w:bidi="ar-SA"/>
              </w:rPr>
            </w:pPr>
            <w:r>
              <w:rPr>
                <w:rFonts w:hint="default" w:ascii="Times New Roman" w:hAnsi="Times New Roman" w:eastAsia="仿宋_GB2312" w:cs="Times New Roman"/>
                <w:color w:val="auto"/>
                <w:spacing w:val="0"/>
                <w:kern w:val="2"/>
                <w:sz w:val="24"/>
                <w:szCs w:val="24"/>
                <w:highlight w:val="none"/>
                <w:lang w:val="en-US" w:eastAsia="zh-CN" w:bidi="ar-SA"/>
              </w:rPr>
              <w:t>本项目的建设对一些小型动物活动有一定影响，使其活动范围受到限制，对其觅食、交偶存在一定影响。本项目</w:t>
            </w:r>
            <w:r>
              <w:rPr>
                <w:rFonts w:hint="eastAsia" w:ascii="Times New Roman" w:hAnsi="Times New Roman" w:eastAsia="仿宋_GB2312" w:cs="Times New Roman"/>
                <w:color w:val="auto"/>
                <w:spacing w:val="0"/>
                <w:kern w:val="2"/>
                <w:sz w:val="24"/>
                <w:szCs w:val="24"/>
                <w:highlight w:val="none"/>
                <w:lang w:val="en-US" w:eastAsia="zh-CN" w:bidi="ar-SA"/>
              </w:rPr>
              <w:t>实施</w:t>
            </w:r>
            <w:r>
              <w:rPr>
                <w:rFonts w:hint="default" w:ascii="Times New Roman" w:hAnsi="Times New Roman" w:eastAsia="仿宋_GB2312" w:cs="Times New Roman"/>
                <w:color w:val="auto"/>
                <w:spacing w:val="0"/>
                <w:kern w:val="2"/>
                <w:sz w:val="24"/>
                <w:szCs w:val="24"/>
                <w:highlight w:val="none"/>
                <w:lang w:val="en-US" w:eastAsia="zh-CN" w:bidi="ar-SA"/>
              </w:rPr>
              <w:t>后，随着施工时的人为干扰逐渐消失，一部分外迁动物又会回归到原地，特别是一些小型动物会较快的在此重新出现。因此，运营期不会影响野生动物的生存、活动空间。</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仿宋_GB2312" w:cs="Times New Roman"/>
                <w:color w:val="auto"/>
                <w:spacing w:val="0"/>
                <w:kern w:val="2"/>
                <w:sz w:val="24"/>
                <w:szCs w:val="24"/>
                <w:highlight w:val="none"/>
                <w:lang w:val="en-US" w:eastAsia="zh-CN" w:bidi="ar-SA"/>
              </w:rPr>
            </w:pPr>
            <w:r>
              <w:rPr>
                <w:rFonts w:hint="default" w:ascii="Times New Roman" w:hAnsi="Times New Roman" w:eastAsia="仿宋_GB2312" w:cs="Times New Roman"/>
                <w:color w:val="auto"/>
                <w:spacing w:val="0"/>
                <w:kern w:val="2"/>
                <w:sz w:val="24"/>
                <w:szCs w:val="24"/>
                <w:highlight w:val="none"/>
                <w:lang w:val="en-US" w:eastAsia="zh-CN" w:bidi="ar-SA"/>
              </w:rPr>
              <w:t>（</w:t>
            </w:r>
            <w:r>
              <w:rPr>
                <w:rFonts w:hint="eastAsia" w:ascii="Times New Roman" w:hAnsi="Times New Roman" w:eastAsia="仿宋_GB2312" w:cs="Times New Roman"/>
                <w:color w:val="auto"/>
                <w:spacing w:val="0"/>
                <w:kern w:val="2"/>
                <w:sz w:val="24"/>
                <w:szCs w:val="24"/>
                <w:highlight w:val="none"/>
                <w:lang w:val="en-US" w:eastAsia="zh-CN" w:bidi="ar-SA"/>
              </w:rPr>
              <w:t>2</w:t>
            </w:r>
            <w:r>
              <w:rPr>
                <w:rFonts w:hint="default" w:ascii="Times New Roman" w:hAnsi="Times New Roman" w:eastAsia="仿宋_GB2312" w:cs="Times New Roman"/>
                <w:color w:val="auto"/>
                <w:spacing w:val="0"/>
                <w:kern w:val="2"/>
                <w:sz w:val="24"/>
                <w:szCs w:val="24"/>
                <w:highlight w:val="none"/>
                <w:lang w:val="en-US" w:eastAsia="zh-CN" w:bidi="ar-SA"/>
              </w:rPr>
              <w:t xml:space="preserve">）土地利用影响分析 </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仿宋_GB2312" w:cs="Times New Roman"/>
                <w:color w:val="auto"/>
                <w:spacing w:val="0"/>
                <w:kern w:val="2"/>
                <w:sz w:val="24"/>
                <w:szCs w:val="24"/>
                <w:highlight w:val="none"/>
                <w:lang w:val="en-US" w:eastAsia="zh-CN" w:bidi="ar-SA"/>
              </w:rPr>
            </w:pPr>
            <w:r>
              <w:rPr>
                <w:rFonts w:hint="default" w:ascii="Times New Roman" w:hAnsi="Times New Roman" w:eastAsia="仿宋_GB2312" w:cs="Times New Roman"/>
                <w:color w:val="auto"/>
                <w:spacing w:val="0"/>
                <w:kern w:val="2"/>
                <w:sz w:val="24"/>
                <w:szCs w:val="24"/>
                <w:highlight w:val="none"/>
                <w:lang w:val="en-US" w:eastAsia="zh-CN" w:bidi="ar-SA"/>
              </w:rPr>
              <w:t>项目建设会占用一定的土地资源，包括耕地等。若项目占用的是耕地，且没有制定合理的土地复垦计划，会导致耕地面积减少，影响当地的农业生产。</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仿宋_GB2312" w:cs="Times New Roman"/>
                <w:color w:val="auto"/>
                <w:spacing w:val="0"/>
                <w:kern w:val="2"/>
                <w:sz w:val="24"/>
                <w:szCs w:val="24"/>
                <w:highlight w:val="none"/>
                <w:lang w:val="en-US" w:eastAsia="zh-CN" w:bidi="ar-SA"/>
              </w:rPr>
            </w:pPr>
            <w:r>
              <w:rPr>
                <w:rFonts w:hint="default" w:ascii="Times New Roman" w:hAnsi="Times New Roman" w:eastAsia="仿宋_GB2312" w:cs="Times New Roman"/>
                <w:color w:val="auto"/>
                <w:spacing w:val="0"/>
                <w:kern w:val="2"/>
                <w:sz w:val="24"/>
                <w:szCs w:val="24"/>
                <w:highlight w:val="none"/>
                <w:lang w:val="en-US" w:eastAsia="zh-CN" w:bidi="ar-SA"/>
              </w:rPr>
              <w:t>（</w:t>
            </w:r>
            <w:r>
              <w:rPr>
                <w:rFonts w:hint="eastAsia" w:ascii="Times New Roman" w:hAnsi="Times New Roman" w:eastAsia="仿宋_GB2312" w:cs="Times New Roman"/>
                <w:color w:val="auto"/>
                <w:spacing w:val="0"/>
                <w:kern w:val="2"/>
                <w:sz w:val="24"/>
                <w:szCs w:val="24"/>
                <w:highlight w:val="none"/>
                <w:lang w:val="en-US" w:eastAsia="zh-CN" w:bidi="ar-SA"/>
              </w:rPr>
              <w:t>3</w:t>
            </w:r>
            <w:r>
              <w:rPr>
                <w:rFonts w:hint="default" w:ascii="Times New Roman" w:hAnsi="Times New Roman" w:eastAsia="仿宋_GB2312" w:cs="Times New Roman"/>
                <w:color w:val="auto"/>
                <w:spacing w:val="0"/>
                <w:kern w:val="2"/>
                <w:sz w:val="24"/>
                <w:szCs w:val="24"/>
                <w:highlight w:val="none"/>
                <w:lang w:val="en-US" w:eastAsia="zh-CN" w:bidi="ar-SA"/>
              </w:rPr>
              <w:t>）水土流失影响</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b/>
                <w:bCs/>
                <w:color w:val="auto"/>
                <w:spacing w:val="-3"/>
                <w:highlight w:val="none"/>
                <w:lang w:val="en-US" w:eastAsia="zh-CN"/>
              </w:rPr>
            </w:pPr>
            <w:r>
              <w:rPr>
                <w:rFonts w:hint="default" w:ascii="Times New Roman" w:hAnsi="Times New Roman" w:eastAsia="仿宋_GB2312" w:cs="Times New Roman"/>
                <w:color w:val="auto"/>
                <w:spacing w:val="0"/>
                <w:kern w:val="2"/>
                <w:sz w:val="24"/>
                <w:szCs w:val="24"/>
                <w:highlight w:val="none"/>
                <w:lang w:val="en-US" w:eastAsia="zh-CN" w:bidi="ar-SA"/>
              </w:rPr>
              <w:t>项目建设过程中，平田整地、厂房建设、道路修建等工程会破坏地表植被，使土壤裸露。种植前期的土地整理（如深耕）可能破坏表层土壤结构，在降水作用下，裸露的土壤容易被雨水冲刷，造成水土流失。特别是中药材种苗培育基地的平田整地工程，涉及面积较大，若不及时采取防护措施，水土流失现象可能较为严重，会导致土壤肥力下降，影响中药材的生长，同时流失的泥沙还会淤积河道、水库等。</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679" w:type="dxa"/>
            <w:tcBorders>
              <w:tl2br w:val="nil"/>
              <w:tr2bl w:val="nil"/>
            </w:tcBorders>
            <w:tcMar>
              <w:left w:w="28" w:type="dxa"/>
              <w:right w:w="28" w:type="dxa"/>
            </w:tcMar>
            <w:vAlign w:val="center"/>
          </w:tcPr>
          <w:p>
            <w:pPr>
              <w:adjustRightInd w:val="0"/>
              <w:snapToGrid w:val="0"/>
              <w:jc w:val="center"/>
              <w:rPr>
                <w:rFonts w:hint="default" w:ascii="Times New Roman" w:hAnsi="Times New Roman" w:eastAsia="仿宋_GB2312" w:cs="Times New Roman"/>
                <w:b/>
                <w:bCs/>
                <w:color w:val="auto"/>
                <w:sz w:val="24"/>
                <w:highlight w:val="none"/>
                <w:lang w:eastAsia="zh-CN"/>
              </w:rPr>
            </w:pPr>
          </w:p>
          <w:p>
            <w:pPr>
              <w:adjustRightInd w:val="0"/>
              <w:snapToGrid w:val="0"/>
              <w:jc w:val="center"/>
              <w:rPr>
                <w:rFonts w:hint="default" w:ascii="Times New Roman" w:hAnsi="Times New Roman" w:eastAsia="仿宋_GB2312" w:cs="Times New Roman"/>
                <w:b/>
                <w:bCs/>
                <w:color w:val="auto"/>
                <w:sz w:val="24"/>
                <w:highlight w:val="none"/>
                <w:lang w:eastAsia="zh-CN"/>
              </w:rPr>
            </w:pPr>
          </w:p>
          <w:p>
            <w:pPr>
              <w:adjustRightInd w:val="0"/>
              <w:snapToGrid w:val="0"/>
              <w:jc w:val="center"/>
              <w:rPr>
                <w:rFonts w:hint="default" w:ascii="Times New Roman" w:hAnsi="Times New Roman" w:eastAsia="仿宋_GB2312" w:cs="Times New Roman"/>
                <w:b/>
                <w:bCs/>
                <w:color w:val="auto"/>
                <w:sz w:val="24"/>
                <w:highlight w:val="none"/>
                <w:lang w:eastAsia="zh-CN"/>
              </w:rPr>
            </w:pPr>
          </w:p>
          <w:p>
            <w:pPr>
              <w:adjustRightInd w:val="0"/>
              <w:snapToGrid w:val="0"/>
              <w:jc w:val="center"/>
              <w:rPr>
                <w:rFonts w:hint="default" w:ascii="Times New Roman" w:hAnsi="Times New Roman" w:eastAsia="仿宋_GB2312" w:cs="Times New Roman"/>
                <w:b/>
                <w:bCs/>
                <w:color w:val="auto"/>
                <w:sz w:val="24"/>
                <w:highlight w:val="none"/>
                <w:lang w:eastAsia="zh-CN"/>
              </w:rPr>
            </w:pPr>
          </w:p>
          <w:p>
            <w:pPr>
              <w:adjustRightInd w:val="0"/>
              <w:snapToGrid w:val="0"/>
              <w:jc w:val="center"/>
              <w:rPr>
                <w:rFonts w:hint="default" w:ascii="Times New Roman" w:hAnsi="Times New Roman" w:eastAsia="仿宋_GB2312" w:cs="Times New Roman"/>
                <w:b/>
                <w:bCs/>
                <w:color w:val="auto"/>
                <w:sz w:val="24"/>
                <w:highlight w:val="none"/>
                <w:lang w:eastAsia="zh-CN"/>
              </w:rPr>
            </w:pPr>
          </w:p>
          <w:p>
            <w:pPr>
              <w:adjustRightInd w:val="0"/>
              <w:snapToGrid w:val="0"/>
              <w:jc w:val="both"/>
              <w:rPr>
                <w:rFonts w:hint="default" w:ascii="Times New Roman" w:hAnsi="Times New Roman" w:eastAsia="仿宋_GB2312" w:cs="Times New Roman"/>
                <w:b/>
                <w:bCs/>
                <w:color w:val="auto"/>
                <w:sz w:val="24"/>
                <w:highlight w:val="none"/>
                <w:lang w:eastAsia="zh-CN"/>
              </w:rPr>
            </w:pPr>
          </w:p>
          <w:p>
            <w:pPr>
              <w:pStyle w:val="20"/>
              <w:rPr>
                <w:rFonts w:hint="default" w:ascii="Times New Roman" w:hAnsi="Times New Roman" w:eastAsia="仿宋_GB2312" w:cs="Times New Roman"/>
                <w:b/>
                <w:bCs/>
                <w:color w:val="auto"/>
                <w:sz w:val="24"/>
                <w:highlight w:val="none"/>
                <w:lang w:eastAsia="zh-CN"/>
              </w:rPr>
            </w:pPr>
          </w:p>
          <w:p>
            <w:pPr>
              <w:pStyle w:val="20"/>
              <w:rPr>
                <w:rFonts w:hint="default" w:ascii="Times New Roman" w:hAnsi="Times New Roman" w:eastAsia="仿宋_GB2312" w:cs="Times New Roman"/>
                <w:b/>
                <w:bCs/>
                <w:color w:val="auto"/>
                <w:sz w:val="24"/>
                <w:highlight w:val="none"/>
                <w:lang w:eastAsia="zh-CN"/>
              </w:rPr>
            </w:pPr>
          </w:p>
          <w:p>
            <w:pPr>
              <w:pStyle w:val="20"/>
              <w:rPr>
                <w:rFonts w:hint="default" w:ascii="Times New Roman" w:hAnsi="Times New Roman" w:eastAsia="仿宋_GB2312" w:cs="Times New Roman"/>
                <w:b/>
                <w:bCs/>
                <w:color w:val="auto"/>
                <w:sz w:val="24"/>
                <w:highlight w:val="none"/>
                <w:lang w:eastAsia="zh-CN"/>
              </w:rPr>
            </w:pPr>
          </w:p>
          <w:p>
            <w:pPr>
              <w:pStyle w:val="20"/>
              <w:rPr>
                <w:rFonts w:hint="default" w:ascii="Times New Roman" w:hAnsi="Times New Roman" w:eastAsia="仿宋_GB2312" w:cs="Times New Roman"/>
                <w:b/>
                <w:bCs/>
                <w:color w:val="auto"/>
                <w:sz w:val="24"/>
                <w:highlight w:val="none"/>
                <w:lang w:eastAsia="zh-CN"/>
              </w:rPr>
            </w:pPr>
          </w:p>
          <w:p>
            <w:pPr>
              <w:pStyle w:val="20"/>
              <w:rPr>
                <w:rFonts w:hint="default" w:ascii="Times New Roman" w:hAnsi="Times New Roman" w:eastAsia="仿宋_GB2312" w:cs="Times New Roman"/>
                <w:b/>
                <w:bCs/>
                <w:color w:val="auto"/>
                <w:sz w:val="24"/>
                <w:highlight w:val="none"/>
                <w:lang w:eastAsia="zh-CN"/>
              </w:rPr>
            </w:pPr>
          </w:p>
          <w:p>
            <w:pPr>
              <w:pStyle w:val="20"/>
              <w:rPr>
                <w:rFonts w:hint="default" w:ascii="Times New Roman" w:hAnsi="Times New Roman" w:eastAsia="仿宋_GB2312" w:cs="Times New Roman"/>
                <w:b/>
                <w:bCs/>
                <w:color w:val="auto"/>
                <w:sz w:val="24"/>
                <w:highlight w:val="none"/>
                <w:lang w:eastAsia="zh-CN"/>
              </w:rPr>
            </w:pPr>
          </w:p>
          <w:p>
            <w:pPr>
              <w:pStyle w:val="20"/>
              <w:rPr>
                <w:rFonts w:hint="default" w:ascii="Times New Roman" w:hAnsi="Times New Roman" w:eastAsia="仿宋_GB2312" w:cs="Times New Roman"/>
                <w:b/>
                <w:bCs/>
                <w:color w:val="auto"/>
                <w:sz w:val="24"/>
                <w:highlight w:val="none"/>
                <w:lang w:eastAsia="zh-CN"/>
              </w:rPr>
            </w:pPr>
          </w:p>
          <w:p>
            <w:pPr>
              <w:pStyle w:val="20"/>
              <w:rPr>
                <w:rFonts w:hint="default" w:ascii="Times New Roman" w:hAnsi="Times New Roman" w:eastAsia="仿宋_GB2312" w:cs="Times New Roman"/>
                <w:b/>
                <w:bCs/>
                <w:color w:val="auto"/>
                <w:sz w:val="24"/>
                <w:highlight w:val="none"/>
                <w:lang w:eastAsia="zh-CN"/>
              </w:rPr>
            </w:pPr>
          </w:p>
          <w:p>
            <w:pPr>
              <w:pStyle w:val="20"/>
              <w:rPr>
                <w:rFonts w:hint="default" w:ascii="Times New Roman" w:hAnsi="Times New Roman" w:eastAsia="仿宋_GB2312" w:cs="Times New Roman"/>
                <w:b/>
                <w:bCs/>
                <w:color w:val="auto"/>
                <w:sz w:val="24"/>
                <w:highlight w:val="none"/>
                <w:lang w:eastAsia="zh-CN"/>
              </w:rPr>
            </w:pPr>
          </w:p>
          <w:p>
            <w:pPr>
              <w:pStyle w:val="20"/>
              <w:rPr>
                <w:rFonts w:hint="default" w:ascii="Times New Roman" w:hAnsi="Times New Roman" w:eastAsia="仿宋_GB2312" w:cs="Times New Roman"/>
                <w:b/>
                <w:bCs/>
                <w:color w:val="auto"/>
                <w:sz w:val="24"/>
                <w:highlight w:val="none"/>
                <w:lang w:eastAsia="zh-CN"/>
              </w:rPr>
            </w:pPr>
          </w:p>
          <w:p>
            <w:pPr>
              <w:pStyle w:val="20"/>
              <w:rPr>
                <w:rFonts w:hint="default" w:ascii="Times New Roman" w:hAnsi="Times New Roman" w:eastAsia="仿宋_GB2312" w:cs="Times New Roman"/>
                <w:b/>
                <w:bCs/>
                <w:color w:val="auto"/>
                <w:sz w:val="24"/>
                <w:highlight w:val="none"/>
                <w:lang w:eastAsia="zh-CN"/>
              </w:rPr>
            </w:pPr>
          </w:p>
          <w:p>
            <w:pPr>
              <w:adjustRightInd w:val="0"/>
              <w:snapToGrid w:val="0"/>
              <w:jc w:val="center"/>
              <w:rPr>
                <w:rFonts w:hint="default" w:ascii="Times New Roman" w:hAnsi="Times New Roman" w:eastAsia="仿宋_GB2312" w:cs="Times New Roman"/>
                <w:b/>
                <w:bCs/>
                <w:color w:val="auto"/>
                <w:sz w:val="24"/>
                <w:highlight w:val="none"/>
                <w:lang w:eastAsia="zh-CN"/>
              </w:rPr>
            </w:pPr>
          </w:p>
          <w:p>
            <w:pPr>
              <w:adjustRightInd w:val="0"/>
              <w:snapToGrid w:val="0"/>
              <w:jc w:val="both"/>
              <w:rPr>
                <w:rFonts w:hint="default" w:ascii="Times New Roman" w:hAnsi="Times New Roman" w:eastAsia="仿宋_GB2312" w:cs="Times New Roman"/>
                <w:b/>
                <w:bCs/>
                <w:color w:val="auto"/>
                <w:sz w:val="24"/>
                <w:highlight w:val="none"/>
                <w:lang w:eastAsia="zh-CN"/>
              </w:rPr>
            </w:pPr>
          </w:p>
          <w:p>
            <w:pPr>
              <w:adjustRightInd w:val="0"/>
              <w:snapToGrid w:val="0"/>
              <w:jc w:val="center"/>
              <w:rPr>
                <w:rFonts w:hint="default" w:ascii="Times New Roman" w:hAnsi="Times New Roman" w:eastAsia="仿宋_GB2312" w:cs="Times New Roman"/>
                <w:b/>
                <w:bCs/>
                <w:color w:val="auto"/>
                <w:sz w:val="24"/>
                <w:highlight w:val="none"/>
                <w:lang w:eastAsia="zh-CN"/>
              </w:rPr>
            </w:pPr>
            <w:r>
              <w:rPr>
                <w:rFonts w:hint="default" w:ascii="Times New Roman" w:hAnsi="Times New Roman" w:eastAsia="仿宋_GB2312" w:cs="Times New Roman"/>
                <w:b/>
                <w:bCs/>
                <w:color w:val="auto"/>
                <w:sz w:val="24"/>
                <w:highlight w:val="none"/>
                <w:lang w:eastAsia="zh-CN"/>
              </w:rPr>
              <w:t>选址选线环境</w:t>
            </w:r>
            <w:r>
              <w:rPr>
                <w:rFonts w:hint="eastAsia" w:eastAsia="仿宋_GB2312" w:cs="Times New Roman"/>
                <w:b/>
                <w:bCs/>
                <w:color w:val="auto"/>
                <w:sz w:val="24"/>
                <w:highlight w:val="none"/>
                <w:lang w:eastAsia="zh-CN"/>
              </w:rPr>
              <w:t>合</w:t>
            </w:r>
            <w:r>
              <w:rPr>
                <w:rFonts w:hint="default" w:ascii="Times New Roman" w:hAnsi="Times New Roman" w:eastAsia="仿宋_GB2312" w:cs="Times New Roman"/>
                <w:b/>
                <w:bCs/>
                <w:color w:val="auto"/>
                <w:sz w:val="24"/>
                <w:highlight w:val="none"/>
                <w:lang w:eastAsia="zh-CN"/>
              </w:rPr>
              <w:t>理性分析</w:t>
            </w:r>
          </w:p>
          <w:p>
            <w:pPr>
              <w:pStyle w:val="13"/>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pStyle w:val="13"/>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pStyle w:val="2"/>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13"/>
              <w:ind w:left="0" w:leftChars="0" w:firstLine="0" w:firstLineChars="0"/>
              <w:rPr>
                <w:rFonts w:hint="default"/>
                <w:color w:val="auto"/>
                <w:highlight w:val="none"/>
                <w:lang w:eastAsia="zh-CN"/>
              </w:rPr>
            </w:pPr>
          </w:p>
        </w:tc>
        <w:tc>
          <w:tcPr>
            <w:tcW w:w="8522" w:type="dxa"/>
            <w:tcBorders>
              <w:tl2br w:val="nil"/>
              <w:tr2bl w:val="nil"/>
            </w:tcBorders>
            <w:vAlign w:val="center"/>
          </w:tcPr>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1.黄花乡沙塘村菌菇产业园区扩容提升建设工程选址合理性分析</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eastAsia"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场地位于泾源县黄花乡沙塘村，现状用地为耕地，自然环境以农田生态为主。市政基础设施配套完善，已规划给水、排水、电力外网系统，道路包含硬化处理路段，可满足产业运输及作业需求。四邻无既有大型建筑物及构筑物，规划范围内以产业设施为主。建筑空间与周边农田生态环境相协调，避免大规模改造地形，保留自然地貌肌理，使产业设施融入乡村景观</w:t>
            </w:r>
            <w:r>
              <w:rPr>
                <w:rFonts w:hint="eastAsia" w:eastAsia="仿宋_GB2312" w:cs="Times New Roman"/>
                <w:color w:val="auto"/>
                <w:sz w:val="24"/>
                <w:szCs w:val="24"/>
                <w:highlight w:val="none"/>
                <w:lang w:val="en-US" w:eastAsia="zh-CN"/>
              </w:rPr>
              <w:t>。</w:t>
            </w:r>
            <w:r>
              <w:rPr>
                <w:rFonts w:hint="eastAsia" w:ascii="Times New Roman" w:hAnsi="Times New Roman" w:eastAsia="仿宋_GB2312" w:cs="Times New Roman"/>
                <w:color w:val="auto"/>
                <w:sz w:val="24"/>
                <w:szCs w:val="24"/>
                <w:highlight w:val="none"/>
                <w:lang w:val="en-US" w:eastAsia="zh-CN"/>
              </w:rPr>
              <w:t>因此，项目选址是合理的</w:t>
            </w:r>
            <w:r>
              <w:rPr>
                <w:rFonts w:hint="default" w:ascii="Times New Roman" w:hAnsi="Times New Roman" w:eastAsia="仿宋_GB2312" w:cs="Times New Roman"/>
                <w:color w:val="auto"/>
                <w:sz w:val="24"/>
                <w:szCs w:val="24"/>
                <w:highlight w:val="none"/>
              </w:rPr>
              <w:t>。</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eastAsia"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2.黄花乡羊槽村菌菇产业园建设工程总平面设计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场地位于泾源县黄花乡，现状用地为耕地和建设用地，以农田生态为主要自然环境。市政基础设施配套规划完善，已明确给水、排水、电力外网系统布局，场内道路含硬化处理路段，可满足菌菇产业运输及日常作业需求。</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集中布置48座出菇棚（单座368㎡），同步建设1座冷库及分拣车间（1050 ㎡）。配套建设</w:t>
            </w:r>
            <w:r>
              <w:rPr>
                <w:rFonts w:hint="eastAsia" w:eastAsia="仿宋_GB2312" w:cs="Times New Roman"/>
                <w:color w:val="auto"/>
                <w:sz w:val="24"/>
                <w:szCs w:val="24"/>
                <w:highlight w:val="none"/>
                <w:lang w:val="en-US" w:eastAsia="zh-CN"/>
              </w:rPr>
              <w:t>给</w:t>
            </w:r>
            <w:r>
              <w:rPr>
                <w:rFonts w:hint="default" w:ascii="Times New Roman" w:hAnsi="Times New Roman" w:eastAsia="仿宋_GB2312" w:cs="Times New Roman"/>
                <w:color w:val="auto"/>
                <w:sz w:val="24"/>
                <w:szCs w:val="24"/>
                <w:highlight w:val="none"/>
                <w:lang w:val="en-US" w:eastAsia="zh-CN"/>
              </w:rPr>
              <w:t>排水管网、电力设施（柴油发电机组1台、干式变压器1台）、阀门井、水表井、柴油发电机组等，全面保障生产运营。棚体及车间采用行列式整齐布置，出菇棚、养菌棚分区集中摆放，冷库及分拣车间靠近场地主干道布置，方便物资流转。合理控制棚间及建筑物间距，满足通风、消防及日常作业需求，形成功能分区明确、布局有序的生产空间。</w:t>
            </w:r>
            <w:r>
              <w:rPr>
                <w:rFonts w:hint="eastAsia" w:ascii="Times New Roman" w:hAnsi="Times New Roman" w:eastAsia="仿宋_GB2312" w:cs="Times New Roman"/>
                <w:color w:val="auto"/>
                <w:sz w:val="24"/>
                <w:szCs w:val="24"/>
                <w:highlight w:val="none"/>
                <w:lang w:val="en-US" w:eastAsia="zh-CN"/>
              </w:rPr>
              <w:t>因此，项目选址是合理的</w:t>
            </w:r>
            <w:r>
              <w:rPr>
                <w:rFonts w:hint="default" w:ascii="Times New Roman" w:hAnsi="Times New Roman" w:eastAsia="仿宋_GB2312" w:cs="Times New Roman"/>
                <w:color w:val="auto"/>
                <w:sz w:val="24"/>
                <w:szCs w:val="24"/>
                <w:highlight w:val="none"/>
              </w:rPr>
              <w:t>。</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ascii="Times New Roman" w:hAnsi="Times New Roman" w:eastAsia="仿宋_GB2312" w:cs="Times New Roman"/>
                <w:b/>
                <w:bCs/>
                <w:color w:val="auto"/>
                <w:sz w:val="24"/>
                <w:szCs w:val="24"/>
                <w:highlight w:val="none"/>
                <w:lang w:val="en-US" w:eastAsia="zh-CN"/>
              </w:rPr>
            </w:pPr>
            <w:r>
              <w:rPr>
                <w:rFonts w:hint="eastAsia" w:ascii="Times New Roman" w:hAnsi="Times New Roman" w:eastAsia="仿宋_GB2312" w:cs="Times New Roman"/>
                <w:b/>
                <w:bCs/>
                <w:color w:val="auto"/>
                <w:sz w:val="24"/>
                <w:szCs w:val="24"/>
                <w:highlight w:val="none"/>
                <w:lang w:val="en-US" w:eastAsia="zh-CN"/>
              </w:rPr>
              <w:t>3.新民乡马河滩村菌菇大棚建设工程总平面</w:t>
            </w:r>
            <w:r>
              <w:rPr>
                <w:rFonts w:hint="eastAsia" w:eastAsia="仿宋_GB2312" w:cs="Times New Roman"/>
                <w:b/>
                <w:bCs/>
                <w:color w:val="auto"/>
                <w:sz w:val="24"/>
                <w:szCs w:val="24"/>
                <w:highlight w:val="none"/>
                <w:lang w:val="en-US" w:eastAsia="zh-CN"/>
              </w:rPr>
              <w:t>设计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场地位于泾源县新民乡马河滩村，现状用地为耕地，自然环境以农田生态为主。市政基础设施配套规划完善，已布局给水、排水、电力外网系统，道路包含硬化处理路段，可满足菌菇和菌丝产业生产运输及日常作业需求。</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 xml:space="preserve">（1）功能分区 </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生产区为24座出菇棚和4座养菌棚集中布置区域，出菇棚单棚规格40m×9.2m，单棚面积368㎡，养菌棚单棚规格64m×12m，单棚面积768㎡，总建筑面积11904㎡；配套建设给排水管网、电力设施（含250KVA变压器）、100m³蓄水池、阀门井等基础设施区域。</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 xml:space="preserve">（2）建筑空间组织及与周边环境关系 </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24座出菇棚和4座养菌采用行列式整齐布置，保证棚间合理间距，满足通风、消防及作业需求，形成规整有序的生产空间。建筑空间与周边农田生态环境相协调，避免大规模改造地形，保留自然地貌肌理，使产业设施融入乡村景观，减少对周边生态的影响。</w:t>
            </w:r>
            <w:r>
              <w:rPr>
                <w:rFonts w:hint="eastAsia" w:ascii="Times New Roman" w:hAnsi="Times New Roman" w:eastAsia="仿宋_GB2312" w:cs="Times New Roman"/>
                <w:color w:val="auto"/>
                <w:sz w:val="24"/>
                <w:szCs w:val="24"/>
                <w:highlight w:val="none"/>
                <w:lang w:val="en-US" w:eastAsia="zh-CN"/>
              </w:rPr>
              <w:t>因此，项目选址是合理的</w:t>
            </w:r>
            <w:r>
              <w:rPr>
                <w:rFonts w:hint="default" w:ascii="Times New Roman" w:hAnsi="Times New Roman" w:eastAsia="仿宋_GB2312" w:cs="Times New Roman"/>
                <w:color w:val="auto"/>
                <w:sz w:val="24"/>
                <w:szCs w:val="24"/>
                <w:highlight w:val="none"/>
              </w:rPr>
              <w:t>。</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ascii="Times New Roman" w:hAnsi="Times New Roman" w:eastAsia="仿宋_GB2312" w:cs="Times New Roman"/>
                <w:b/>
                <w:bCs/>
                <w:color w:val="auto"/>
                <w:sz w:val="24"/>
                <w:szCs w:val="24"/>
                <w:highlight w:val="none"/>
                <w:lang w:val="en-US" w:eastAsia="zh-CN"/>
              </w:rPr>
            </w:pPr>
            <w:r>
              <w:rPr>
                <w:rFonts w:hint="eastAsia" w:ascii="Times New Roman" w:hAnsi="Times New Roman" w:eastAsia="仿宋_GB2312" w:cs="Times New Roman"/>
                <w:b/>
                <w:bCs/>
                <w:color w:val="auto"/>
                <w:sz w:val="24"/>
                <w:szCs w:val="24"/>
                <w:highlight w:val="none"/>
                <w:lang w:val="en-US" w:eastAsia="zh-CN"/>
              </w:rPr>
              <w:t>4.大湾乡养菌棚改造及木耳配套设施建设工程总平面设计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场地位于泾源县大湾乡牛营村，现状用地已布局改造养菌棚等设施，自然环境以乡村产业生态为主。市政基础设施配套完善，已规划给水、排水、电力外网系统，道路含硬化处理路段，可满足菌菇生产运输及日常作业需求。四邻无大型建筑物及构筑物，规划范围内以产业生产设施为核心，与周边生态环境协调。集中布置1868.47㎡烘干车间、1座357.43㎡堆料车间、5座209.48㎡改造养菌棚，总建筑面积2273.3㎡，按行列式整齐布局。配套建设给排水管网、电力设施、200m³钢筋混凝土蓄水池、给水阀门井、电缆工作井等，集中布置于生产区周边，便于运维。</w:t>
            </w:r>
            <w:r>
              <w:rPr>
                <w:rFonts w:hint="eastAsia" w:ascii="Times New Roman" w:hAnsi="Times New Roman" w:eastAsia="仿宋_GB2312" w:cs="Times New Roman"/>
                <w:color w:val="auto"/>
                <w:sz w:val="24"/>
                <w:szCs w:val="24"/>
                <w:highlight w:val="none"/>
                <w:lang w:val="en-US" w:eastAsia="zh-CN"/>
              </w:rPr>
              <w:t>因此，项目选址是合理的</w:t>
            </w:r>
            <w:r>
              <w:rPr>
                <w:rFonts w:hint="default" w:ascii="Times New Roman" w:hAnsi="Times New Roman" w:eastAsia="仿宋_GB2312" w:cs="Times New Roman"/>
                <w:color w:val="auto"/>
                <w:sz w:val="24"/>
                <w:szCs w:val="24"/>
                <w:highlight w:val="none"/>
              </w:rPr>
              <w:t>。</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ascii="Times New Roman" w:hAnsi="Times New Roman" w:eastAsia="仿宋_GB2312" w:cs="Times New Roman"/>
                <w:b/>
                <w:bCs/>
                <w:color w:val="auto"/>
                <w:sz w:val="24"/>
                <w:szCs w:val="24"/>
                <w:highlight w:val="none"/>
                <w:lang w:val="en-US" w:eastAsia="zh-CN"/>
              </w:rPr>
            </w:pPr>
            <w:r>
              <w:rPr>
                <w:rFonts w:hint="default" w:ascii="Times New Roman" w:hAnsi="Times New Roman" w:eastAsia="仿宋_GB2312" w:cs="Times New Roman"/>
                <w:b/>
                <w:bCs/>
                <w:color w:val="auto"/>
                <w:sz w:val="24"/>
                <w:szCs w:val="24"/>
                <w:highlight w:val="none"/>
                <w:lang w:val="en-US" w:eastAsia="zh-CN"/>
              </w:rPr>
              <w:t>5</w:t>
            </w:r>
            <w:r>
              <w:rPr>
                <w:rFonts w:hint="eastAsia" w:ascii="Times New Roman" w:hAnsi="Times New Roman" w:eastAsia="仿宋_GB2312" w:cs="Times New Roman"/>
                <w:b/>
                <w:bCs/>
                <w:color w:val="auto"/>
                <w:sz w:val="24"/>
                <w:szCs w:val="24"/>
                <w:highlight w:val="none"/>
                <w:lang w:val="en-US" w:eastAsia="zh-CN"/>
              </w:rPr>
              <w:t>.香水镇卡子村菌菇产业提质扩量建设工程总平面</w:t>
            </w:r>
            <w:r>
              <w:rPr>
                <w:rFonts w:hint="eastAsia" w:eastAsia="仿宋_GB2312" w:cs="Times New Roman"/>
                <w:b/>
                <w:bCs/>
                <w:color w:val="auto"/>
                <w:sz w:val="24"/>
                <w:szCs w:val="24"/>
                <w:highlight w:val="none"/>
                <w:lang w:val="en-US" w:eastAsia="zh-CN"/>
              </w:rPr>
              <w:t>设计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场地位于泾源县香水镇卡子村，现状用地为耕地，自然环境以农田生态为主。市政基础设施配套完善，已规划给水、排水、电力外网系统，道路包含硬化处理路段，可满足产业运输及作业需求。</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集中布置45座出菇棚，总建筑面积16560平方米（单座368平方米）。配套建设给排水管网、电力设施（含160kva箱式变电站）、100m³钢筋混凝土蓄水池、给水阀门井等基础设施区域。45座出菇棚采用行列式整齐布置，保证棚间合理间距，满足通风、消防及作业通行需求，形成规整有序的生产空间。建筑空间与周边农田生态环境相协调，避免大规模改造地形，保留自然地貌肌理。</w:t>
            </w:r>
            <w:r>
              <w:rPr>
                <w:rFonts w:hint="eastAsia" w:ascii="Times New Roman" w:hAnsi="Times New Roman" w:eastAsia="仿宋_GB2312" w:cs="Times New Roman"/>
                <w:color w:val="auto"/>
                <w:sz w:val="24"/>
                <w:szCs w:val="24"/>
                <w:highlight w:val="none"/>
                <w:lang w:val="en-US" w:eastAsia="zh-CN"/>
              </w:rPr>
              <w:t>因此，项目选址是合理的</w:t>
            </w:r>
            <w:r>
              <w:rPr>
                <w:rFonts w:hint="default" w:ascii="Times New Roman" w:hAnsi="Times New Roman" w:eastAsia="仿宋_GB2312" w:cs="Times New Roman"/>
                <w:color w:val="auto"/>
                <w:sz w:val="24"/>
                <w:szCs w:val="24"/>
                <w:highlight w:val="none"/>
              </w:rPr>
              <w:t>。</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ascii="Times New Roman" w:hAnsi="Times New Roman" w:eastAsia="仿宋_GB2312" w:cs="Times New Roman"/>
                <w:b/>
                <w:bCs/>
                <w:color w:val="auto"/>
                <w:sz w:val="24"/>
                <w:szCs w:val="24"/>
                <w:highlight w:val="none"/>
                <w:lang w:val="en-US" w:eastAsia="zh-CN"/>
              </w:rPr>
            </w:pPr>
            <w:r>
              <w:rPr>
                <w:rFonts w:hint="eastAsia" w:ascii="Times New Roman" w:hAnsi="Times New Roman" w:eastAsia="仿宋_GB2312" w:cs="Times New Roman"/>
                <w:b/>
                <w:bCs/>
                <w:color w:val="auto"/>
                <w:sz w:val="24"/>
                <w:szCs w:val="24"/>
                <w:highlight w:val="none"/>
                <w:lang w:val="en-US" w:eastAsia="zh-CN"/>
              </w:rPr>
              <w:t>6.香水镇米岗村新建菌菇棚建设工程总平面设计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场地位于泾源县香水镇米岗村，现状用地为适宜产业建设的地块，自然环境以乡村生态为主。市政基础设施配套已规划，现有给水阀门井可接入供水，电力外网系统已具备接入条件，道路含硬化处理路段，能满足菌菇生产物资运输、作业人员通行需求。</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集中布置30座出菇棚，为项目核心功能区域。配套建设给排水管网、电力设施、阀门井等，保障生产运营。30座出菇棚采用行列式整齐布置，单个棚体面积368㎡，总建筑面积1040㎡。棚间预留合理间距，满足通风、消防及日常作业需求，形成规整有序的生产空间。</w:t>
            </w:r>
            <w:r>
              <w:rPr>
                <w:rFonts w:hint="eastAsia" w:ascii="Times New Roman" w:hAnsi="Times New Roman" w:eastAsia="仿宋_GB2312" w:cs="Times New Roman"/>
                <w:color w:val="auto"/>
                <w:sz w:val="24"/>
                <w:szCs w:val="24"/>
                <w:highlight w:val="none"/>
                <w:lang w:val="en-US" w:eastAsia="zh-CN"/>
              </w:rPr>
              <w:t>因此，项目选址是合理的</w:t>
            </w:r>
            <w:r>
              <w:rPr>
                <w:rFonts w:hint="default" w:ascii="Times New Roman" w:hAnsi="Times New Roman" w:eastAsia="仿宋_GB2312" w:cs="Times New Roman"/>
                <w:color w:val="auto"/>
                <w:sz w:val="24"/>
                <w:szCs w:val="24"/>
                <w:highlight w:val="none"/>
              </w:rPr>
              <w:t>。</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ascii="Times New Roman" w:hAnsi="Times New Roman"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7.</w:t>
            </w:r>
            <w:r>
              <w:rPr>
                <w:rFonts w:hint="default" w:ascii="Times New Roman" w:hAnsi="Times New Roman" w:eastAsia="仿宋_GB2312" w:cs="Times New Roman"/>
                <w:b/>
                <w:bCs/>
                <w:color w:val="auto"/>
                <w:sz w:val="24"/>
                <w:szCs w:val="24"/>
                <w:highlight w:val="none"/>
                <w:lang w:val="en-US" w:eastAsia="zh-CN"/>
              </w:rPr>
              <w:t>兴盛乡兴盛村特色农业设施大棚总平面设计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场地位于泾源县兴盛乡兴盛村，现状用地为耕地，以农田生态为主要自然环境。市政基础设施配套规划完善，已明确给水、排水、电力外网系统布局，场内道路含硬化处理路段，可满足菌菇产业运输及日常作业需求。集中布置12座出菇棚（单座368㎡）与6座采摘棚（单座960㎡）。配套建设给排水管网、电力设施（变台、配电柜）、蓄水池、阀门井、水表井等，保障生产运营。出菇棚与采摘棚采用行列式整齐布置，合理控制棚间间距，满足通风、消防及日常作业需求，形成有序生产空间。</w:t>
            </w:r>
            <w:r>
              <w:rPr>
                <w:rFonts w:hint="eastAsia" w:ascii="Times New Roman" w:hAnsi="Times New Roman" w:eastAsia="仿宋_GB2312" w:cs="Times New Roman"/>
                <w:color w:val="auto"/>
                <w:sz w:val="24"/>
                <w:szCs w:val="24"/>
                <w:highlight w:val="none"/>
                <w:lang w:val="en-US" w:eastAsia="zh-CN"/>
              </w:rPr>
              <w:t>因此，项目选址是合理的</w:t>
            </w:r>
            <w:r>
              <w:rPr>
                <w:rFonts w:hint="default" w:ascii="Times New Roman" w:hAnsi="Times New Roman" w:eastAsia="仿宋_GB2312" w:cs="Times New Roman"/>
                <w:color w:val="auto"/>
                <w:sz w:val="24"/>
                <w:szCs w:val="24"/>
                <w:highlight w:val="none"/>
              </w:rPr>
              <w:t>。</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default" w:ascii="Times New Roman" w:hAnsi="Times New Roman" w:eastAsia="仿宋_GB2312" w:cs="Times New Roman"/>
                <w:b/>
                <w:bCs/>
                <w:color w:val="auto"/>
                <w:sz w:val="24"/>
                <w:szCs w:val="24"/>
                <w:highlight w:val="none"/>
              </w:rPr>
            </w:pPr>
            <w:r>
              <w:rPr>
                <w:rFonts w:hint="eastAsia" w:eastAsia="仿宋_GB2312" w:cs="Times New Roman"/>
                <w:b/>
                <w:bCs/>
                <w:color w:val="auto"/>
                <w:sz w:val="24"/>
                <w:szCs w:val="24"/>
                <w:highlight w:val="none"/>
                <w:lang w:val="en-US" w:eastAsia="zh-CN"/>
              </w:rPr>
              <w:t>8.</w:t>
            </w:r>
            <w:r>
              <w:rPr>
                <w:rFonts w:hint="default" w:ascii="Times New Roman" w:hAnsi="Times New Roman" w:eastAsia="仿宋_GB2312" w:cs="Times New Roman"/>
                <w:b/>
                <w:bCs/>
                <w:color w:val="auto"/>
                <w:sz w:val="24"/>
                <w:szCs w:val="24"/>
                <w:highlight w:val="none"/>
                <w:lang w:val="en-US" w:eastAsia="zh-CN"/>
              </w:rPr>
              <w:t>泾河源镇白面村新建菌菇棚建设工程总平面设计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场地位于泾源县泾河源镇白面村，现状用地为耕地，自然环境以农田生态为主。市政基础设施配套规划完善，已布局给水、排水、电力外网系统，道路包含硬化处理路段，可满足菌菇产业生产运输及日常作业需求。</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生产区为109座出菇棚和21座养菌棚集中布置区域，出菇棚单棚规格40m×9.2m，单棚面积368㎡，养菌棚单棚规格64m×12m，单棚面积768㎡，总建筑面积56240㎡；配套建设给排水管网、电力设施、蓄水池、阀门井、接地端子箱等基础设施区域；预留场地周边部分用地作为远期产业拓展空间，保障项目可持续发展。109座出菇棚和21座养菌棚采用行列式整齐布置，保证棚间合理间距，满足通风、消防及作业需求，形成规整有序的生产空间。建筑空间与周边农田生态环境相协调，避免大规模改造地形。</w:t>
            </w:r>
            <w:r>
              <w:rPr>
                <w:rFonts w:hint="eastAsia" w:ascii="Times New Roman" w:hAnsi="Times New Roman" w:eastAsia="仿宋_GB2312" w:cs="Times New Roman"/>
                <w:color w:val="auto"/>
                <w:sz w:val="24"/>
                <w:szCs w:val="24"/>
                <w:highlight w:val="none"/>
                <w:lang w:val="en-US" w:eastAsia="zh-CN"/>
              </w:rPr>
              <w:t>因此，项目选址是合理的</w:t>
            </w:r>
            <w:r>
              <w:rPr>
                <w:rFonts w:hint="default" w:ascii="Times New Roman" w:hAnsi="Times New Roman" w:eastAsia="仿宋_GB2312" w:cs="Times New Roman"/>
                <w:color w:val="auto"/>
                <w:sz w:val="24"/>
                <w:szCs w:val="24"/>
                <w:highlight w:val="none"/>
              </w:rPr>
              <w:t>。</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textAlignment w:val="auto"/>
              <w:rPr>
                <w:rFonts w:hint="eastAsia"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9.泾河源镇白面村菌菇产业园区建设工程总平面设计</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场地位于宁夏回族自治区泾源县泾河源镇白面村，属于乡镇级产业园区用地。周边市政基础设施配套逐步完善，市政给水可作为项目用水补水来源，10KV高压电源引自园区外10米处高压分支箱</w:t>
            </w:r>
            <w:r>
              <w:rPr>
                <w:rFonts w:hint="eastAsia" w:eastAsia="仿宋_GB2312" w:cs="Times New Roman"/>
                <w:color w:val="auto"/>
                <w:sz w:val="24"/>
                <w:szCs w:val="24"/>
                <w:highlight w:val="none"/>
                <w:lang w:val="en-US" w:eastAsia="zh-CN"/>
              </w:rPr>
              <w:t>、</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（1）功能分区及分期建设</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功能分区明确，分为生产区与辅助设施区：生产区包含菌棒加工车间，辅助设施区包含消防水池及泵房、箱式变电站、柴油发电机房等。</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（2）建筑空间组织与环境关系</w:t>
            </w:r>
          </w:p>
          <w:p>
            <w:pPr>
              <w:pStyle w:val="101"/>
              <w:keepNext w:val="0"/>
              <w:keepLines w:val="0"/>
              <w:pageBreakBefore w:val="0"/>
              <w:widowControl w:val="0"/>
              <w:kinsoku/>
              <w:wordWrap/>
              <w:overflowPunct/>
              <w:topLinePunct w:val="0"/>
              <w:autoSpaceDE/>
              <w:autoSpaceDN/>
              <w:bidi w:val="0"/>
              <w:adjustRightInd w:val="0"/>
              <w:snapToGrid w:val="0"/>
              <w:spacing w:beforeLines="0" w:afterLines="0" w:line="360" w:lineRule="auto"/>
              <w:ind w:right="0" w:firstLine="480" w:firstLineChars="200"/>
              <w:textAlignment w:val="auto"/>
              <w:rPr>
                <w:rFonts w:hint="default" w:ascii="Times New Roman" w:hAnsi="Times New Roman" w:eastAsia="仿宋_GB2312" w:cs="Times New Roman"/>
                <w:color w:val="auto"/>
                <w:spacing w:val="0"/>
                <w:kern w:val="2"/>
                <w:sz w:val="24"/>
                <w:szCs w:val="24"/>
                <w:highlight w:val="none"/>
                <w:lang w:val="en-US" w:eastAsia="zh-CN" w:bidi="ar-SA"/>
              </w:rPr>
            </w:pPr>
            <w:r>
              <w:rPr>
                <w:rFonts w:hint="default" w:ascii="Times New Roman" w:hAnsi="Times New Roman" w:eastAsia="仿宋_GB2312" w:cs="Times New Roman"/>
                <w:color w:val="auto"/>
                <w:sz w:val="24"/>
                <w:szCs w:val="24"/>
                <w:highlight w:val="none"/>
                <w:lang w:val="en-US" w:eastAsia="zh-CN"/>
              </w:rPr>
              <w:t>建筑布局顺应场地地形与朝向，菌棒加工车间等主要生产建筑布置在场地核心区域，保证生产流程顺畅。辅助设施如消防水池及泵房、箱式变电站等布置在边缘区域，减少对生产区的干扰，同时便于市政管线接入与维护，与四周自然环境和谐共生。</w:t>
            </w:r>
            <w:r>
              <w:rPr>
                <w:rFonts w:hint="eastAsia" w:ascii="Times New Roman" w:hAnsi="Times New Roman" w:eastAsia="仿宋_GB2312" w:cs="Times New Roman"/>
                <w:color w:val="auto"/>
                <w:sz w:val="24"/>
                <w:szCs w:val="24"/>
                <w:highlight w:val="none"/>
                <w:lang w:val="en-US" w:eastAsia="zh-CN"/>
              </w:rPr>
              <w:t>因此，项目选址是合理的</w:t>
            </w:r>
            <w:r>
              <w:rPr>
                <w:rFonts w:hint="default" w:ascii="Times New Roman" w:hAnsi="Times New Roman" w:eastAsia="仿宋_GB2312" w:cs="Times New Roman"/>
                <w:color w:val="auto"/>
                <w:sz w:val="24"/>
                <w:szCs w:val="24"/>
                <w:highlight w:val="none"/>
              </w:rPr>
              <w:t>。</w:t>
            </w:r>
          </w:p>
        </w:tc>
      </w:tr>
    </w:tbl>
    <w:p>
      <w:pPr>
        <w:tabs>
          <w:tab w:val="left" w:pos="5412"/>
        </w:tabs>
        <w:adjustRightInd w:val="0"/>
        <w:snapToGrid w:val="0"/>
        <w:spacing w:line="360" w:lineRule="auto"/>
        <w:rPr>
          <w:rFonts w:hint="eastAsia" w:ascii="宋体" w:eastAsia="宋体" w:cs="宋体"/>
          <w:b/>
          <w:color w:val="auto"/>
          <w:kern w:val="0"/>
          <w:sz w:val="28"/>
          <w:szCs w:val="28"/>
          <w:highlight w:val="none"/>
          <w:lang w:eastAsia="zh-CN"/>
        </w:rPr>
        <w:sectPr>
          <w:pgSz w:w="11907" w:h="16840"/>
          <w:pgMar w:top="1701" w:right="1417" w:bottom="1701"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31"/>
        <w:keepNext w:val="0"/>
        <w:keepLines w:val="0"/>
        <w:pageBreakBefore w:val="0"/>
        <w:widowControl/>
        <w:kinsoku/>
        <w:wordWrap/>
        <w:overflowPunct/>
        <w:topLinePunct w:val="0"/>
        <w:autoSpaceDE/>
        <w:autoSpaceDN/>
        <w:bidi w:val="0"/>
        <w:adjustRightInd/>
        <w:snapToGrid/>
        <w:spacing w:after="0" w:afterAutospacing="0"/>
        <w:jc w:val="center"/>
        <w:textAlignment w:val="auto"/>
        <w:outlineLvl w:val="0"/>
        <w:rPr>
          <w:rFonts w:hint="eastAsia" w:ascii="黑体" w:hAnsi="黑体" w:eastAsia="黑体"/>
          <w:snapToGrid w:val="0"/>
          <w:color w:val="auto"/>
          <w:sz w:val="30"/>
          <w:szCs w:val="30"/>
          <w:highlight w:val="none"/>
          <w:lang w:eastAsia="zh-CN"/>
        </w:rPr>
      </w:pPr>
      <w:r>
        <w:rPr>
          <w:rFonts w:hint="eastAsia" w:ascii="黑体" w:hAnsi="黑体" w:eastAsia="黑体"/>
          <w:snapToGrid w:val="0"/>
          <w:color w:val="auto"/>
          <w:sz w:val="30"/>
          <w:szCs w:val="30"/>
          <w:highlight w:val="none"/>
          <w:lang w:eastAsia="zh-CN"/>
        </w:rPr>
        <w:t>五</w:t>
      </w:r>
      <w:r>
        <w:rPr>
          <w:rFonts w:hint="eastAsia" w:ascii="黑体" w:hAnsi="黑体" w:eastAsia="黑体"/>
          <w:snapToGrid w:val="0"/>
          <w:color w:val="auto"/>
          <w:sz w:val="30"/>
          <w:szCs w:val="30"/>
          <w:highlight w:val="none"/>
        </w:rPr>
        <w:t>、</w:t>
      </w:r>
      <w:r>
        <w:rPr>
          <w:rFonts w:hint="eastAsia" w:ascii="黑体" w:hAnsi="黑体" w:eastAsia="黑体"/>
          <w:snapToGrid w:val="0"/>
          <w:color w:val="auto"/>
          <w:sz w:val="30"/>
          <w:szCs w:val="30"/>
          <w:highlight w:val="none"/>
          <w:lang w:eastAsia="zh-CN"/>
        </w:rPr>
        <w:t>主要生态环境保护措施</w:t>
      </w:r>
    </w:p>
    <w:tbl>
      <w:tblPr>
        <w:tblStyle w:val="35"/>
        <w:tblW w:w="9201"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511"/>
        <w:gridCol w:w="8690"/>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511" w:type="dxa"/>
            <w:tcBorders>
              <w:tl2br w:val="nil"/>
              <w:tr2bl w:val="nil"/>
            </w:tcBorders>
            <w:tcMar>
              <w:left w:w="28" w:type="dxa"/>
              <w:right w:w="28" w:type="dxa"/>
            </w:tcMar>
            <w:vAlign w:val="center"/>
          </w:tcPr>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r>
              <w:rPr>
                <w:rFonts w:hint="default" w:ascii="Times New Roman" w:hAnsi="Times New Roman" w:eastAsia="仿宋_GB2312" w:cs="Times New Roman"/>
                <w:b/>
                <w:bCs/>
                <w:color w:val="auto"/>
                <w:kern w:val="2"/>
                <w:szCs w:val="24"/>
                <w:highlight w:val="none"/>
                <w:lang w:eastAsia="zh-CN"/>
              </w:rPr>
              <w:t>施工期生态环境保护措施</w:t>
            </w: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r>
              <w:rPr>
                <w:rFonts w:hint="default" w:ascii="Times New Roman" w:hAnsi="Times New Roman" w:eastAsia="仿宋_GB2312" w:cs="Times New Roman"/>
                <w:b/>
                <w:bCs/>
                <w:color w:val="auto"/>
                <w:kern w:val="2"/>
                <w:szCs w:val="24"/>
                <w:highlight w:val="none"/>
                <w:lang w:eastAsia="zh-CN"/>
              </w:rPr>
              <w:t>施工期生态环境保护措施</w:t>
            </w: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r>
              <w:rPr>
                <w:rFonts w:hint="default" w:ascii="Times New Roman" w:hAnsi="Times New Roman" w:eastAsia="仿宋_GB2312" w:cs="Times New Roman"/>
                <w:b/>
                <w:bCs/>
                <w:color w:val="auto"/>
                <w:kern w:val="2"/>
                <w:szCs w:val="24"/>
                <w:highlight w:val="none"/>
                <w:lang w:eastAsia="zh-CN"/>
              </w:rPr>
              <w:t>施工期生态环境保护措施</w:t>
            </w: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r>
              <w:rPr>
                <w:rFonts w:hint="default" w:ascii="Times New Roman" w:hAnsi="Times New Roman" w:eastAsia="仿宋_GB2312" w:cs="Times New Roman"/>
                <w:b/>
                <w:bCs/>
                <w:color w:val="auto"/>
                <w:kern w:val="2"/>
                <w:szCs w:val="24"/>
                <w:highlight w:val="none"/>
                <w:lang w:eastAsia="zh-CN"/>
              </w:rPr>
              <w:t>施工期生态环境保护措施</w:t>
            </w: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center"/>
              <w:rPr>
                <w:rFonts w:hint="default" w:ascii="Times New Roman" w:hAnsi="Times New Roman" w:eastAsia="仿宋_GB2312" w:cs="Times New Roman"/>
                <w:b/>
                <w:bCs/>
                <w:color w:val="auto"/>
                <w:kern w:val="2"/>
                <w:szCs w:val="24"/>
                <w:highlight w:val="none"/>
                <w:lang w:eastAsia="zh-CN"/>
              </w:rPr>
            </w:pPr>
          </w:p>
          <w:p>
            <w:pPr>
              <w:pStyle w:val="31"/>
              <w:adjustRightInd w:val="0"/>
              <w:snapToGrid w:val="0"/>
              <w:spacing w:before="0" w:beforeAutospacing="0" w:after="0" w:afterAutospacing="0"/>
              <w:jc w:val="both"/>
              <w:rPr>
                <w:rFonts w:hint="default" w:ascii="Times New Roman" w:hAnsi="Times New Roman" w:eastAsia="仿宋_GB2312" w:cs="Times New Roman"/>
                <w:b/>
                <w:bCs/>
                <w:color w:val="auto"/>
                <w:kern w:val="2"/>
                <w:szCs w:val="24"/>
                <w:highlight w:val="none"/>
                <w:lang w:eastAsia="zh-CN"/>
              </w:rPr>
            </w:pPr>
          </w:p>
        </w:tc>
        <w:tc>
          <w:tcPr>
            <w:tcW w:w="86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b/>
                <w:bCs/>
                <w:color w:val="auto"/>
                <w:sz w:val="24"/>
                <w:szCs w:val="24"/>
                <w:highlight w:val="none"/>
                <w:lang w:val="en-US" w:eastAsia="zh-CN"/>
              </w:rPr>
              <w:t>1、</w:t>
            </w:r>
            <w:r>
              <w:rPr>
                <w:rFonts w:hint="eastAsia" w:ascii="Times New Roman" w:hAnsi="Times New Roman" w:eastAsia="仿宋_GB2312" w:cs="Times New Roman"/>
                <w:b/>
                <w:bCs/>
                <w:color w:val="auto"/>
                <w:sz w:val="24"/>
                <w:szCs w:val="24"/>
                <w:highlight w:val="none"/>
                <w:lang w:val="en-US" w:eastAsia="zh-CN"/>
              </w:rPr>
              <w:t>施工期</w:t>
            </w:r>
            <w:r>
              <w:rPr>
                <w:rFonts w:hint="eastAsia" w:eastAsia="仿宋_GB2312" w:cs="Times New Roman"/>
                <w:b/>
                <w:bCs/>
                <w:color w:val="auto"/>
                <w:sz w:val="24"/>
                <w:szCs w:val="24"/>
                <w:highlight w:val="none"/>
                <w:lang w:val="en-US" w:eastAsia="zh-CN"/>
              </w:rPr>
              <w:t>生态减缓</w:t>
            </w:r>
            <w:r>
              <w:rPr>
                <w:rFonts w:hint="eastAsia" w:ascii="Times New Roman" w:hAnsi="Times New Roman" w:eastAsia="仿宋_GB2312" w:cs="Times New Roman"/>
                <w:b/>
                <w:bCs/>
                <w:color w:val="auto"/>
                <w:sz w:val="24"/>
                <w:szCs w:val="24"/>
                <w:highlight w:val="none"/>
                <w:lang w:val="en-US" w:eastAsia="zh-CN"/>
              </w:rPr>
              <w:t>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根据生态影响分析，本项目</w:t>
            </w:r>
            <w:r>
              <w:rPr>
                <w:rFonts w:hint="eastAsia" w:eastAsia="仿宋_GB2312" w:cs="Times New Roman"/>
                <w:color w:val="auto"/>
                <w:kern w:val="0"/>
                <w:sz w:val="24"/>
                <w:highlight w:val="none"/>
                <w:lang w:val="en-US" w:eastAsia="zh-CN"/>
              </w:rPr>
              <w:t>施工期</w:t>
            </w:r>
            <w:r>
              <w:rPr>
                <w:rFonts w:hint="default" w:ascii="Times New Roman" w:hAnsi="Times New Roman" w:eastAsia="仿宋_GB2312" w:cs="Times New Roman"/>
                <w:color w:val="auto"/>
                <w:kern w:val="0"/>
                <w:sz w:val="24"/>
                <w:highlight w:val="none"/>
                <w:lang w:val="en-US" w:eastAsia="zh-CN"/>
              </w:rPr>
              <w:t>对生态环境的影响主要为土壤扰动后，可能造成植物覆盖率降低。</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为保护当地的生态环境，在项目施工过程中拟采取以下保护措施：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(1)生态环境影响避让措施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①项目</w:t>
            </w:r>
            <w:r>
              <w:rPr>
                <w:rFonts w:hint="eastAsia" w:ascii="Times New Roman" w:hAnsi="Times New Roman" w:eastAsia="仿宋_GB2312" w:cs="Times New Roman"/>
                <w:color w:val="auto"/>
                <w:kern w:val="0"/>
                <w:sz w:val="24"/>
                <w:highlight w:val="none"/>
                <w:lang w:val="en-US" w:eastAsia="zh-CN"/>
              </w:rPr>
              <w:t>设置的</w:t>
            </w:r>
            <w:r>
              <w:rPr>
                <w:rFonts w:hint="eastAsia" w:eastAsia="仿宋_GB2312" w:cs="Times New Roman"/>
                <w:color w:val="auto"/>
                <w:kern w:val="0"/>
                <w:sz w:val="24"/>
                <w:highlight w:val="none"/>
                <w:lang w:val="en-US" w:eastAsia="zh-CN"/>
              </w:rPr>
              <w:t>最短</w:t>
            </w:r>
            <w:r>
              <w:rPr>
                <w:rFonts w:hint="eastAsia" w:ascii="Times New Roman" w:hAnsi="Times New Roman" w:eastAsia="仿宋_GB2312" w:cs="Times New Roman"/>
                <w:color w:val="auto"/>
                <w:kern w:val="0"/>
                <w:sz w:val="24"/>
                <w:highlight w:val="none"/>
                <w:lang w:val="en-US" w:eastAsia="zh-CN"/>
              </w:rPr>
              <w:t>临时道路</w:t>
            </w:r>
            <w:r>
              <w:rPr>
                <w:rFonts w:hint="default" w:ascii="Times New Roman" w:hAnsi="Times New Roman" w:eastAsia="仿宋_GB2312" w:cs="Times New Roman"/>
                <w:color w:val="auto"/>
                <w:kern w:val="0"/>
                <w:sz w:val="24"/>
                <w:highlight w:val="none"/>
                <w:lang w:val="en-US" w:eastAsia="zh-CN"/>
              </w:rPr>
              <w:t>，减少永久占地面积和土壤扰动区域。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②控制最小施工作业带范围。</w:t>
            </w:r>
            <w:r>
              <w:rPr>
                <w:rFonts w:hint="eastAsia" w:ascii="Times New Roman" w:hAnsi="Times New Roman" w:eastAsia="仿宋_GB2312" w:cs="Times New Roman"/>
                <w:color w:val="auto"/>
                <w:kern w:val="0"/>
                <w:sz w:val="24"/>
                <w:highlight w:val="none"/>
                <w:lang w:val="en-US" w:eastAsia="zh-CN"/>
              </w:rPr>
              <w:t>土料</w:t>
            </w:r>
            <w:r>
              <w:rPr>
                <w:rFonts w:hint="eastAsia" w:eastAsia="仿宋_GB2312" w:cs="Times New Roman"/>
                <w:color w:val="auto"/>
                <w:kern w:val="0"/>
                <w:sz w:val="24"/>
                <w:highlight w:val="none"/>
                <w:lang w:val="en-US" w:eastAsia="zh-CN"/>
              </w:rPr>
              <w:t>开挖后及时进行平整回填</w:t>
            </w:r>
            <w:r>
              <w:rPr>
                <w:rFonts w:hint="default" w:ascii="Times New Roman" w:hAnsi="Times New Roman" w:eastAsia="仿宋_GB2312" w:cs="Times New Roman"/>
                <w:color w:val="auto"/>
                <w:kern w:val="0"/>
                <w:sz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③建设单位、监理单位加强施工现场管理，切实做到文明施工，尽可能减小施工过程中对周边环境的影响。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(2)生态环境影响减缓措施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①从保护生态环境的角度出发，建议本工程开发建设前，尽量做好施工规划期工作，施工期间加强</w:t>
            </w:r>
            <w:r>
              <w:rPr>
                <w:rFonts w:hint="eastAsia" w:ascii="Times New Roman" w:hAnsi="Times New Roman" w:eastAsia="仿宋_GB2312" w:cs="Times New Roman"/>
                <w:color w:val="auto"/>
                <w:kern w:val="0"/>
                <w:sz w:val="24"/>
                <w:highlight w:val="none"/>
                <w:lang w:val="en-US" w:eastAsia="zh-CN"/>
              </w:rPr>
              <w:t>土料</w:t>
            </w:r>
            <w:r>
              <w:rPr>
                <w:rFonts w:hint="default" w:ascii="Times New Roman" w:hAnsi="Times New Roman" w:eastAsia="仿宋_GB2312" w:cs="Times New Roman"/>
                <w:color w:val="auto"/>
                <w:kern w:val="0"/>
                <w:sz w:val="24"/>
                <w:highlight w:val="none"/>
                <w:lang w:val="en-US" w:eastAsia="zh-CN"/>
              </w:rPr>
              <w:t>临时堆集防护，加强施工人员的各类卫生管理，避免生活垃圾乱扔乱放，污染环境；做好工程完工后生态环境的恢复工作，以尽量减少植被破坏及水土流失等不利影响；加强管理、减少污染；加强生态保护宣传教育。</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②施工过程中加强管理，能不碾压的地方不碾压，能不动用的地方不动用，尽量不损坏植被。</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③建设单位应以合同形式要求施工单位在施工过程中严格按照设计要求，控制开挖范围及开挖量，将施工活动限制在</w:t>
            </w:r>
            <w:r>
              <w:rPr>
                <w:rFonts w:hint="eastAsia" w:ascii="Times New Roman" w:hAnsi="Times New Roman" w:eastAsia="仿宋_GB2312" w:cs="Times New Roman"/>
                <w:color w:val="auto"/>
                <w:kern w:val="0"/>
                <w:sz w:val="24"/>
                <w:highlight w:val="none"/>
                <w:lang w:val="en-US" w:eastAsia="zh-CN"/>
              </w:rPr>
              <w:t>施工区</w:t>
            </w:r>
            <w:r>
              <w:rPr>
                <w:rFonts w:hint="default" w:ascii="Times New Roman" w:hAnsi="Times New Roman" w:eastAsia="仿宋_GB2312" w:cs="Times New Roman"/>
                <w:color w:val="auto"/>
                <w:kern w:val="0"/>
                <w:sz w:val="24"/>
                <w:highlight w:val="none"/>
                <w:lang w:val="en-US" w:eastAsia="zh-CN"/>
              </w:rPr>
              <w:t>范围内。</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(3)生态环境影响修复措施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①工程施工破坏植被的，提出植被恢复与生态修复等措施。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(4)生态环境影响管理措施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①加大生态环境保护管理力度，施工单位必须严格执行环境保护管理规定和措施。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②加强对施工人员和职工的教育，强化保护野生植物的观念，不得随意砍伐野生植物，不得将野生植物作为薪柴使用。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④强化风险意识，制订切实可行的风险防范与应急预案，最大限度降低风险概率，避免事故泄漏和火灾爆炸事故可能对野生动植物的生命及生存环境的威胁。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⑤加强对施工人员的环保宣传和培训工作，提高各级管理人员环保意识，使其自觉做好保护区域内野生动植物的工作。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⑥建立环境保护人员培训制度，环境监测人员、统计人员、污染治理设施操作人员应经培训合格后上岗。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通过采取上述生态保护措施，使本项目对评价区域周围生态环境的影响保持在环境可接受范围内，项目施工不会导致区域生态环境现状的改变。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(5)生态环境影响监测措施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指定专人定期对项目区域植被面积、破坏程度、破坏量以及施工占用场地进行勘探记录，特别是正在施工的区域，对于植被损坏量大的区域进行记录，施工结束后进行植被恢复，对于人为破坏的植被、不按规定堆放</w:t>
            </w:r>
            <w:r>
              <w:rPr>
                <w:rFonts w:hint="eastAsia" w:ascii="Times New Roman" w:hAnsi="Times New Roman" w:eastAsia="仿宋_GB2312" w:cs="Times New Roman"/>
                <w:color w:val="auto"/>
                <w:kern w:val="0"/>
                <w:sz w:val="24"/>
                <w:highlight w:val="none"/>
                <w:lang w:val="en-US" w:eastAsia="zh-CN"/>
              </w:rPr>
              <w:t>土料</w:t>
            </w:r>
            <w:r>
              <w:rPr>
                <w:rFonts w:hint="default" w:ascii="Times New Roman" w:hAnsi="Times New Roman" w:eastAsia="仿宋_GB2312" w:cs="Times New Roman"/>
                <w:color w:val="auto"/>
                <w:kern w:val="0"/>
                <w:sz w:val="24"/>
                <w:highlight w:val="none"/>
                <w:lang w:val="en-US" w:eastAsia="zh-CN"/>
              </w:rPr>
              <w:t>、不按规定路线运输设备或机械进场等行为进行处罚，并对影响区域提出补偿措施。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eastAsia" w:ascii="Times New Roman" w:hAnsi="Times New Roman" w:eastAsia="仿宋_GB2312" w:cs="Times New Roman"/>
                <w:color w:val="auto"/>
                <w:kern w:val="0"/>
                <w:sz w:val="24"/>
                <w:highlight w:val="none"/>
                <w:lang w:val="en-US" w:eastAsia="zh-CN"/>
              </w:rPr>
              <w:t>(6)</w:t>
            </w:r>
            <w:r>
              <w:rPr>
                <w:rFonts w:hint="default" w:ascii="Times New Roman" w:hAnsi="Times New Roman" w:eastAsia="仿宋_GB2312" w:cs="Times New Roman"/>
                <w:color w:val="auto"/>
                <w:kern w:val="0"/>
                <w:sz w:val="24"/>
                <w:highlight w:val="none"/>
                <w:lang w:val="en-US" w:eastAsia="zh-CN"/>
              </w:rPr>
              <w:t xml:space="preserve">地表、土壤保护措施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施工中应加强施工管理，施工期间在划定的施工范围内进行施工，严格限制施工人员及施工机械的活动范围，严禁跨越施工作业范围外进行施工活动，尽量减少扰动面积，减少地表植被和土壤破坏。施工设计时，施工道路尽可能利用已有的交通道路；优化设计和施工方案，尽量减少施工作业面和施工量；合理安排施工时序，严禁大风天气及强降雨天气施工，减少项目区水土流失。施工结束后尽快清理施工现场，尽快完成种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0"/>
                <w:sz w:val="24"/>
                <w:highlight w:val="none"/>
                <w:lang w:val="en-US" w:eastAsia="zh-CN"/>
              </w:rPr>
              <w:t>⑵植物保护措施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color w:val="auto"/>
                <w:lang w:val="en-US" w:eastAsia="zh-CN"/>
              </w:rPr>
            </w:pPr>
            <w:r>
              <w:rPr>
                <w:rFonts w:hint="default" w:ascii="Times New Roman" w:hAnsi="Times New Roman" w:eastAsia="仿宋_GB2312" w:cs="Times New Roman"/>
                <w:color w:val="auto"/>
                <w:kern w:val="0"/>
                <w:sz w:val="24"/>
                <w:highlight w:val="none"/>
                <w:lang w:val="en-US" w:eastAsia="zh-CN"/>
              </w:rPr>
              <w:t>尽量减少施工占地，减少地表植被破坏；施工场地及施工临时用地，待施工结束及时清理、松土、整平，进行</w:t>
            </w:r>
            <w:r>
              <w:rPr>
                <w:rFonts w:hint="eastAsia" w:eastAsia="仿宋_GB2312" w:cs="Times New Roman"/>
                <w:color w:val="auto"/>
                <w:kern w:val="0"/>
                <w:sz w:val="24"/>
                <w:highlight w:val="none"/>
                <w:lang w:val="en-US" w:eastAsia="zh-CN"/>
              </w:rPr>
              <w:t>菌菇</w:t>
            </w:r>
            <w:r>
              <w:rPr>
                <w:rFonts w:hint="default" w:ascii="Times New Roman" w:hAnsi="Times New Roman" w:eastAsia="仿宋_GB2312" w:cs="Times New Roman"/>
                <w:color w:val="auto"/>
                <w:kern w:val="0"/>
                <w:sz w:val="24"/>
                <w:highlight w:val="none"/>
                <w:lang w:val="en-US" w:eastAsia="zh-CN"/>
              </w:rPr>
              <w:t>种植；对施工人员进行职业教育，严禁施工人员随意破坏植物。同时，项目实施过程应边施工、边恢复，严格按水土保持方案设计进行</w:t>
            </w:r>
            <w:r>
              <w:rPr>
                <w:rFonts w:hint="eastAsia" w:ascii="Times New Roman" w:hAnsi="Times New Roman" w:eastAsia="仿宋_GB2312" w:cs="Times New Roman"/>
                <w:color w:val="auto"/>
                <w:kern w:val="0"/>
                <w:sz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2、</w:t>
            </w:r>
            <w:r>
              <w:rPr>
                <w:rFonts w:hint="eastAsia" w:ascii="Times New Roman" w:hAnsi="Times New Roman" w:eastAsia="仿宋_GB2312" w:cs="Times New Roman"/>
                <w:b/>
                <w:bCs/>
                <w:color w:val="auto"/>
                <w:sz w:val="24"/>
                <w:szCs w:val="24"/>
                <w:highlight w:val="none"/>
                <w:lang w:val="en-US" w:eastAsia="zh-CN"/>
              </w:rPr>
              <w:t>施工期大气污染防治措施</w:t>
            </w:r>
          </w:p>
          <w:p>
            <w:pPr>
              <w:adjustRightInd w:val="0"/>
              <w:snapToGrid w:val="0"/>
              <w:spacing w:line="360" w:lineRule="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b/>
                <w:bCs/>
                <w:color w:val="auto"/>
                <w:sz w:val="24"/>
                <w:szCs w:val="24"/>
                <w:highlight w:val="none"/>
                <w:lang w:val="en-US" w:eastAsia="zh-CN"/>
              </w:rPr>
              <w:t>2.1</w:t>
            </w:r>
            <w:r>
              <w:rPr>
                <w:rFonts w:hint="eastAsia" w:eastAsia="仿宋_GB2312" w:cs="Times New Roman"/>
                <w:b/>
                <w:bCs/>
                <w:color w:val="auto"/>
                <w:sz w:val="24"/>
                <w:szCs w:val="24"/>
                <w:highlight w:val="none"/>
                <w:lang w:val="en-US" w:eastAsia="zh-CN"/>
              </w:rPr>
              <w:t xml:space="preserve"> </w:t>
            </w:r>
            <w:r>
              <w:rPr>
                <w:rFonts w:hint="eastAsia" w:ascii="Times New Roman" w:hAnsi="Times New Roman" w:eastAsia="仿宋_GB2312" w:cs="Times New Roman"/>
                <w:b/>
                <w:bCs/>
                <w:color w:val="auto"/>
                <w:sz w:val="24"/>
                <w:szCs w:val="24"/>
                <w:highlight w:val="none"/>
                <w:lang w:val="en-US" w:eastAsia="zh-CN"/>
              </w:rPr>
              <w:t>施工扬尘</w:t>
            </w:r>
          </w:p>
          <w:p>
            <w:pPr>
              <w:keepNext w:val="0"/>
              <w:keepLines w:val="0"/>
              <w:pageBreakBefore w:val="0"/>
              <w:widowControl w:val="0"/>
              <w:kinsoku/>
              <w:wordWrap/>
              <w:overflowPunct/>
              <w:topLinePunct w:val="0"/>
              <w:autoSpaceDE/>
              <w:autoSpaceDN/>
              <w:bidi w:val="0"/>
              <w:adjustRightInd w:val="0"/>
              <w:snapToGrid w:val="0"/>
              <w:spacing w:line="348" w:lineRule="auto"/>
              <w:ind w:firstLine="480" w:firstLineChars="200"/>
              <w:textAlignment w:val="auto"/>
              <w:rPr>
                <w:rFonts w:hint="eastAsia" w:eastAsia="仿宋_GB2312" w:cs="Times New Roman"/>
                <w:b w:val="0"/>
                <w:bCs w:val="0"/>
                <w:color w:val="auto"/>
                <w:sz w:val="24"/>
                <w:szCs w:val="24"/>
                <w:highlight w:val="none"/>
                <w:lang w:val="en-US" w:eastAsia="zh-CN"/>
              </w:rPr>
            </w:pPr>
            <w:r>
              <w:rPr>
                <w:rFonts w:hint="eastAsia" w:eastAsia="仿宋_GB2312" w:cs="Times New Roman"/>
                <w:b w:val="0"/>
                <w:bCs w:val="0"/>
                <w:color w:val="auto"/>
                <w:sz w:val="24"/>
                <w:szCs w:val="24"/>
                <w:highlight w:val="none"/>
                <w:lang w:val="en-US" w:eastAsia="zh-CN"/>
              </w:rPr>
              <w:t>在施工过程中，施工单位必须严格按照规定进行施工，尽量减少扬尘对环境的影响。为此，施工单位应采取以下措施：</w:t>
            </w:r>
          </w:p>
          <w:p>
            <w:pPr>
              <w:keepNext w:val="0"/>
              <w:keepLines w:val="0"/>
              <w:pageBreakBefore w:val="0"/>
              <w:widowControl w:val="0"/>
              <w:kinsoku/>
              <w:wordWrap/>
              <w:overflowPunct/>
              <w:topLinePunct w:val="0"/>
              <w:autoSpaceDE/>
              <w:autoSpaceDN/>
              <w:bidi w:val="0"/>
              <w:adjustRightInd w:val="0"/>
              <w:snapToGrid w:val="0"/>
              <w:spacing w:line="348" w:lineRule="auto"/>
              <w:ind w:firstLine="480" w:firstLineChars="200"/>
              <w:textAlignment w:val="auto"/>
              <w:rPr>
                <w:rFonts w:hint="eastAsia" w:eastAsia="仿宋_GB2312" w:cs="Times New Roman"/>
                <w:b w:val="0"/>
                <w:bCs w:val="0"/>
                <w:color w:val="auto"/>
                <w:sz w:val="24"/>
                <w:szCs w:val="24"/>
                <w:highlight w:val="none"/>
                <w:lang w:val="en-US" w:eastAsia="zh-CN"/>
              </w:rPr>
            </w:pPr>
            <w:r>
              <w:rPr>
                <w:rFonts w:hint="eastAsia" w:eastAsia="仿宋_GB2312" w:cs="Times New Roman"/>
                <w:b w:val="0"/>
                <w:bCs w:val="0"/>
                <w:color w:val="auto"/>
                <w:sz w:val="24"/>
                <w:szCs w:val="24"/>
                <w:highlight w:val="none"/>
                <w:lang w:val="en-US" w:eastAsia="zh-CN"/>
              </w:rPr>
              <w:t xml:space="preserve">①加强运输管理，科学选择运输路线，保证汽车安全、文明、中速行驶。容易散落、飞扬、流漏物料在运输过程中，运输车辆须加盖篷布，最大程度减少物料的散落及飞扬； </w:t>
            </w:r>
          </w:p>
          <w:p>
            <w:pPr>
              <w:keepNext w:val="0"/>
              <w:keepLines w:val="0"/>
              <w:pageBreakBefore w:val="0"/>
              <w:widowControl w:val="0"/>
              <w:kinsoku/>
              <w:wordWrap/>
              <w:overflowPunct/>
              <w:topLinePunct w:val="0"/>
              <w:autoSpaceDE/>
              <w:autoSpaceDN/>
              <w:bidi w:val="0"/>
              <w:adjustRightInd w:val="0"/>
              <w:snapToGrid w:val="0"/>
              <w:spacing w:line="348" w:lineRule="auto"/>
              <w:ind w:firstLine="480" w:firstLineChars="200"/>
              <w:textAlignment w:val="auto"/>
              <w:rPr>
                <w:rFonts w:hint="eastAsia" w:eastAsia="仿宋_GB2312" w:cs="Times New Roman"/>
                <w:b w:val="0"/>
                <w:bCs w:val="0"/>
                <w:color w:val="auto"/>
                <w:sz w:val="24"/>
                <w:szCs w:val="24"/>
                <w:highlight w:val="none"/>
                <w:lang w:val="en-US" w:eastAsia="zh-CN"/>
              </w:rPr>
            </w:pPr>
            <w:r>
              <w:rPr>
                <w:rFonts w:hint="eastAsia" w:eastAsia="仿宋_GB2312" w:cs="Times New Roman"/>
                <w:b w:val="0"/>
                <w:bCs w:val="0"/>
                <w:color w:val="auto"/>
                <w:sz w:val="24"/>
                <w:szCs w:val="24"/>
                <w:highlight w:val="none"/>
                <w:lang w:val="en-US" w:eastAsia="zh-CN"/>
              </w:rPr>
              <w:t>②施工场地防尘：在施工期间，应根据不同空气污染指数范围和大风、高温、干燥、晴天、雨天等各种不同气象条件要求，明确保洁制度，包括洒水、清扫方式、频率、次数、用水量等。4级以上大风干燥天气不许进行土方作业；</w:t>
            </w:r>
          </w:p>
          <w:p>
            <w:pPr>
              <w:keepNext w:val="0"/>
              <w:keepLines w:val="0"/>
              <w:pageBreakBefore w:val="0"/>
              <w:widowControl w:val="0"/>
              <w:kinsoku/>
              <w:wordWrap/>
              <w:overflowPunct/>
              <w:topLinePunct w:val="0"/>
              <w:autoSpaceDE/>
              <w:autoSpaceDN/>
              <w:bidi w:val="0"/>
              <w:adjustRightInd w:val="0"/>
              <w:snapToGrid w:val="0"/>
              <w:spacing w:line="348" w:lineRule="auto"/>
              <w:ind w:firstLine="480" w:firstLineChars="200"/>
              <w:textAlignment w:val="auto"/>
              <w:rPr>
                <w:rFonts w:hint="eastAsia" w:eastAsia="仿宋_GB2312" w:cs="Times New Roman"/>
                <w:b w:val="0"/>
                <w:bCs w:val="0"/>
                <w:color w:val="auto"/>
                <w:sz w:val="24"/>
                <w:szCs w:val="24"/>
                <w:highlight w:val="none"/>
                <w:lang w:val="en-US" w:eastAsia="zh-CN"/>
              </w:rPr>
            </w:pPr>
            <w:r>
              <w:rPr>
                <w:rFonts w:hint="eastAsia" w:eastAsia="仿宋_GB2312" w:cs="Times New Roman"/>
                <w:b w:val="0"/>
                <w:bCs w:val="0"/>
                <w:color w:val="auto"/>
                <w:sz w:val="24"/>
                <w:szCs w:val="24"/>
                <w:highlight w:val="none"/>
                <w:lang w:val="en-US" w:eastAsia="zh-CN"/>
              </w:rPr>
              <w:t xml:space="preserve">③对项目厂区内道路采用石子路硬化措施，减少运输车辆行驶产生的扬尘； </w:t>
            </w:r>
          </w:p>
          <w:p>
            <w:pPr>
              <w:keepNext w:val="0"/>
              <w:keepLines w:val="0"/>
              <w:pageBreakBefore w:val="0"/>
              <w:widowControl w:val="0"/>
              <w:kinsoku/>
              <w:wordWrap/>
              <w:overflowPunct/>
              <w:topLinePunct w:val="0"/>
              <w:autoSpaceDE/>
              <w:autoSpaceDN/>
              <w:bidi w:val="0"/>
              <w:adjustRightInd w:val="0"/>
              <w:snapToGrid w:val="0"/>
              <w:spacing w:line="348" w:lineRule="auto"/>
              <w:ind w:firstLine="480" w:firstLineChars="200"/>
              <w:textAlignment w:val="auto"/>
              <w:rPr>
                <w:rFonts w:hint="eastAsia" w:eastAsia="仿宋_GB2312" w:cs="Times New Roman"/>
                <w:b w:val="0"/>
                <w:bCs w:val="0"/>
                <w:color w:val="auto"/>
                <w:sz w:val="24"/>
                <w:szCs w:val="24"/>
                <w:highlight w:val="none"/>
                <w:lang w:val="en-US" w:eastAsia="zh-CN"/>
              </w:rPr>
            </w:pPr>
            <w:r>
              <w:rPr>
                <w:rFonts w:hint="eastAsia" w:eastAsia="仿宋_GB2312" w:cs="Times New Roman"/>
                <w:b w:val="0"/>
                <w:bCs w:val="0"/>
                <w:color w:val="auto"/>
                <w:sz w:val="24"/>
                <w:szCs w:val="24"/>
                <w:highlight w:val="none"/>
                <w:lang w:val="en-US" w:eastAsia="zh-CN"/>
              </w:rPr>
              <w:t>④5级以上大风天气禁止施工；</w:t>
            </w:r>
          </w:p>
          <w:p>
            <w:pPr>
              <w:keepNext w:val="0"/>
              <w:keepLines w:val="0"/>
              <w:pageBreakBefore w:val="0"/>
              <w:widowControl w:val="0"/>
              <w:kinsoku/>
              <w:wordWrap/>
              <w:overflowPunct/>
              <w:topLinePunct w:val="0"/>
              <w:autoSpaceDE/>
              <w:autoSpaceDN/>
              <w:bidi w:val="0"/>
              <w:adjustRightInd w:val="0"/>
              <w:snapToGrid w:val="0"/>
              <w:spacing w:line="348" w:lineRule="auto"/>
              <w:ind w:firstLine="480" w:firstLineChars="200"/>
              <w:textAlignment w:val="auto"/>
              <w:rPr>
                <w:rFonts w:hint="eastAsia" w:eastAsia="仿宋_GB2312" w:cs="Times New Roman"/>
                <w:b w:val="0"/>
                <w:bCs w:val="0"/>
                <w:color w:val="auto"/>
                <w:sz w:val="24"/>
                <w:szCs w:val="24"/>
                <w:highlight w:val="none"/>
                <w:lang w:val="en-US" w:eastAsia="zh-CN"/>
              </w:rPr>
            </w:pPr>
            <w:r>
              <w:rPr>
                <w:rFonts w:hint="eastAsia" w:eastAsia="仿宋_GB2312" w:cs="Times New Roman"/>
                <w:b w:val="0"/>
                <w:bCs w:val="0"/>
                <w:color w:val="auto"/>
                <w:sz w:val="24"/>
                <w:szCs w:val="24"/>
                <w:highlight w:val="none"/>
                <w:lang w:val="en-US" w:eastAsia="zh-CN"/>
              </w:rPr>
              <w:t>⑤施工单位配备现场定期洒水，在干噪天气增加洒水次数。</w:t>
            </w:r>
          </w:p>
          <w:p>
            <w:pPr>
              <w:keepNext w:val="0"/>
              <w:keepLines w:val="0"/>
              <w:pageBreakBefore w:val="0"/>
              <w:widowControl w:val="0"/>
              <w:kinsoku/>
              <w:wordWrap/>
              <w:overflowPunct/>
              <w:topLinePunct w:val="0"/>
              <w:autoSpaceDE/>
              <w:autoSpaceDN/>
              <w:bidi w:val="0"/>
              <w:adjustRightInd w:val="0"/>
              <w:snapToGrid w:val="0"/>
              <w:spacing w:line="348" w:lineRule="auto"/>
              <w:ind w:firstLine="480" w:firstLineChars="200"/>
              <w:textAlignment w:val="auto"/>
              <w:rPr>
                <w:rFonts w:hint="eastAsia" w:eastAsia="仿宋_GB2312" w:cs="Times New Roman"/>
                <w:b w:val="0"/>
                <w:bCs w:val="0"/>
                <w:color w:val="auto"/>
                <w:sz w:val="24"/>
                <w:szCs w:val="24"/>
                <w:highlight w:val="none"/>
                <w:lang w:val="en-US" w:eastAsia="zh-CN"/>
              </w:rPr>
            </w:pPr>
            <w:r>
              <w:rPr>
                <w:rFonts w:hint="eastAsia" w:eastAsia="仿宋_GB2312" w:cs="Times New Roman"/>
                <w:b w:val="0"/>
                <w:bCs w:val="0"/>
                <w:color w:val="auto"/>
                <w:sz w:val="24"/>
                <w:szCs w:val="24"/>
                <w:highlight w:val="none"/>
                <w:lang w:val="en-US" w:eastAsia="zh-CN"/>
              </w:rPr>
              <w:t>⑥施工中应选择排气污染物稳定且达到国家规定排放标准的施工机械。使之处于良好运行状态。加强对施工机械的科学管理，合理安排运行时间，发挥其最大效率。</w:t>
            </w:r>
          </w:p>
          <w:p>
            <w:pPr>
              <w:keepNext w:val="0"/>
              <w:keepLines w:val="0"/>
              <w:pageBreakBefore w:val="0"/>
              <w:widowControl w:val="0"/>
              <w:kinsoku/>
              <w:wordWrap/>
              <w:overflowPunct/>
              <w:topLinePunct w:val="0"/>
              <w:autoSpaceDE/>
              <w:autoSpaceDN/>
              <w:bidi w:val="0"/>
              <w:adjustRightInd w:val="0"/>
              <w:snapToGrid w:val="0"/>
              <w:spacing w:line="348" w:lineRule="auto"/>
              <w:ind w:firstLine="480" w:firstLineChars="200"/>
              <w:textAlignment w:val="auto"/>
              <w:rPr>
                <w:rFonts w:hint="eastAsia" w:eastAsia="仿宋_GB2312" w:cs="Times New Roman"/>
                <w:b w:val="0"/>
                <w:bCs w:val="0"/>
                <w:color w:val="auto"/>
                <w:sz w:val="24"/>
                <w:szCs w:val="24"/>
                <w:highlight w:val="none"/>
                <w:lang w:val="en-US" w:eastAsia="zh-CN"/>
              </w:rPr>
            </w:pPr>
            <w:r>
              <w:rPr>
                <w:rFonts w:hint="eastAsia" w:eastAsia="仿宋_GB2312" w:cs="Times New Roman"/>
                <w:b w:val="0"/>
                <w:bCs w:val="0"/>
                <w:color w:val="auto"/>
                <w:sz w:val="24"/>
                <w:szCs w:val="24"/>
                <w:highlight w:val="none"/>
                <w:lang w:val="en-US" w:eastAsia="zh-CN"/>
              </w:rPr>
              <w:t>⑦加强施工机械和车辆的维护和保养，经常检查汽车的密封元件及进、排气系统是否工作正常，以减少汽、柴油的泄漏，保证进、排气系统畅通，并使用优质燃料，减少废气排放。综上所述，本项目施工期产生的扬尘、施工机械废气采取以上治理措施可得到有效控制，对环境影响较小。</w:t>
            </w:r>
          </w:p>
          <w:p>
            <w:pPr>
              <w:keepNext w:val="0"/>
              <w:keepLines w:val="0"/>
              <w:pageBreakBefore w:val="0"/>
              <w:widowControl w:val="0"/>
              <w:kinsoku/>
              <w:wordWrap/>
              <w:overflowPunct/>
              <w:topLinePunct w:val="0"/>
              <w:autoSpaceDE/>
              <w:autoSpaceDN/>
              <w:bidi w:val="0"/>
              <w:adjustRightInd w:val="0"/>
              <w:snapToGrid w:val="0"/>
              <w:spacing w:line="348" w:lineRule="auto"/>
              <w:textAlignment w:val="auto"/>
              <w:rPr>
                <w:rFonts w:hint="eastAsia" w:ascii="Times New Roman" w:hAnsi="Times New Roman"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3、</w:t>
            </w:r>
            <w:r>
              <w:rPr>
                <w:rFonts w:hint="eastAsia" w:ascii="Times New Roman" w:hAnsi="Times New Roman" w:eastAsia="仿宋_GB2312" w:cs="Times New Roman"/>
                <w:b/>
                <w:bCs/>
                <w:color w:val="auto"/>
                <w:sz w:val="24"/>
                <w:szCs w:val="24"/>
                <w:highlight w:val="none"/>
                <w:lang w:val="en-US" w:eastAsia="zh-CN"/>
              </w:rPr>
              <w:t>施工期水污染防治措施</w:t>
            </w:r>
          </w:p>
          <w:p>
            <w:pPr>
              <w:pStyle w:val="90"/>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sz w:val="24"/>
                <w:szCs w:val="24"/>
                <w:highlight w:val="none"/>
                <w:lang w:val="zh-CN" w:eastAsia="zh-CN"/>
              </w:rPr>
              <w:t>生活污水利用周边居民旱厕，定期清掏，用于周边农田施肥。少量盥洗废水用于泼洒抑尘。施工结束后拆除恢复土地</w:t>
            </w:r>
            <w:r>
              <w:rPr>
                <w:rFonts w:hint="eastAsia" w:ascii="Times New Roman" w:hAnsi="Times New Roman" w:eastAsia="仿宋_GB2312" w:cs="Times New Roman"/>
                <w:color w:val="auto"/>
                <w:sz w:val="24"/>
                <w:szCs w:val="24"/>
                <w:highlight w:val="none"/>
                <w:lang w:val="en-US" w:eastAsia="zh-CN"/>
              </w:rPr>
              <w:t>。</w:t>
            </w:r>
            <w:r>
              <w:rPr>
                <w:rFonts w:hint="default" w:ascii="Times New Roman" w:hAnsi="Times New Roman" w:eastAsia="仿宋_GB2312" w:cs="Times New Roman"/>
                <w:color w:val="auto"/>
                <w:kern w:val="2"/>
                <w:sz w:val="24"/>
                <w:szCs w:val="24"/>
                <w:highlight w:val="none"/>
                <w:lang w:val="en-US" w:eastAsia="zh-CN" w:bidi="ar-SA"/>
              </w:rPr>
              <w:t>本工程施工采用商品混凝土，少量现浇混凝土养护产生少量废水。</w:t>
            </w:r>
            <w:r>
              <w:rPr>
                <w:rFonts w:hint="eastAsia" w:ascii="Times New Roman" w:hAnsi="Times New Roman" w:eastAsia="仿宋_GB2312" w:cs="Times New Roman"/>
                <w:color w:val="auto"/>
                <w:kern w:val="2"/>
                <w:sz w:val="24"/>
                <w:szCs w:val="24"/>
                <w:highlight w:val="none"/>
                <w:lang w:val="en-US" w:eastAsia="zh-CN" w:bidi="ar-SA"/>
              </w:rPr>
              <w:t>经</w:t>
            </w:r>
            <w:r>
              <w:rPr>
                <w:rFonts w:hint="default" w:ascii="Times New Roman" w:hAnsi="Times New Roman" w:eastAsia="仿宋_GB2312" w:cs="Times New Roman"/>
                <w:color w:val="auto"/>
                <w:kern w:val="2"/>
                <w:sz w:val="24"/>
                <w:szCs w:val="24"/>
                <w:highlight w:val="none"/>
                <w:lang w:val="en-US" w:eastAsia="zh-CN" w:bidi="ar-SA"/>
              </w:rPr>
              <w:t>沉淀池沉淀后回用于混凝土养护用水，确保无废水排放。</w:t>
            </w:r>
          </w:p>
          <w:p>
            <w:pPr>
              <w:keepNext w:val="0"/>
              <w:keepLines w:val="0"/>
              <w:pageBreakBefore w:val="0"/>
              <w:widowControl w:val="0"/>
              <w:kinsoku/>
              <w:wordWrap/>
              <w:overflowPunct/>
              <w:topLinePunct w:val="0"/>
              <w:autoSpaceDE/>
              <w:autoSpaceDN/>
              <w:bidi w:val="0"/>
              <w:adjustRightInd w:val="0"/>
              <w:snapToGrid w:val="0"/>
              <w:spacing w:line="348" w:lineRule="auto"/>
              <w:textAlignment w:val="auto"/>
              <w:rPr>
                <w:rFonts w:hint="default" w:ascii="Times New Roman" w:hAnsi="Times New Roman" w:eastAsia="仿宋_GB2312" w:cs="Times New Roman"/>
                <w:b/>
                <w:bCs/>
                <w:color w:val="auto"/>
                <w:sz w:val="24"/>
                <w:szCs w:val="24"/>
                <w:highlight w:val="none"/>
                <w:lang w:val="en-US" w:eastAsia="zh-CN"/>
              </w:rPr>
            </w:pPr>
            <w:r>
              <w:rPr>
                <w:rFonts w:hint="default" w:ascii="Times New Roman" w:hAnsi="Times New Roman" w:eastAsia="仿宋_GB2312" w:cs="Times New Roman"/>
                <w:b/>
                <w:bCs/>
                <w:color w:val="auto"/>
                <w:sz w:val="24"/>
                <w:szCs w:val="24"/>
                <w:highlight w:val="none"/>
                <w:lang w:val="en-US" w:eastAsia="zh-CN"/>
              </w:rPr>
              <w:t>4、</w:t>
            </w:r>
            <w:r>
              <w:rPr>
                <w:rFonts w:hint="eastAsia" w:ascii="Times New Roman" w:hAnsi="Times New Roman" w:eastAsia="仿宋_GB2312" w:cs="Times New Roman"/>
                <w:b/>
                <w:bCs/>
                <w:color w:val="auto"/>
                <w:sz w:val="24"/>
                <w:szCs w:val="24"/>
                <w:highlight w:val="none"/>
                <w:lang w:val="en-US" w:eastAsia="zh-CN"/>
              </w:rPr>
              <w:t>施工期噪声污染防治</w:t>
            </w:r>
            <w:r>
              <w:rPr>
                <w:rFonts w:hint="default" w:ascii="Times New Roman" w:hAnsi="Times New Roman" w:eastAsia="仿宋_GB2312" w:cs="Times New Roman"/>
                <w:b/>
                <w:bCs/>
                <w:color w:val="auto"/>
                <w:sz w:val="24"/>
                <w:szCs w:val="24"/>
                <w:highlight w:val="none"/>
                <w:lang w:val="en-US" w:eastAsia="zh-CN"/>
              </w:rPr>
              <w:t>措施</w:t>
            </w:r>
          </w:p>
          <w:p>
            <w:pPr>
              <w:keepNext w:val="0"/>
              <w:keepLines w:val="0"/>
              <w:pageBreakBefore w:val="0"/>
              <w:widowControl w:val="0"/>
              <w:kinsoku/>
              <w:wordWrap/>
              <w:overflowPunct/>
              <w:topLinePunct w:val="0"/>
              <w:autoSpaceDE/>
              <w:autoSpaceDN/>
              <w:bidi w:val="0"/>
              <w:adjustRightInd w:val="0"/>
              <w:snapToGrid w:val="0"/>
              <w:spacing w:line="348"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施工期声环境保护防治措施及对策建议：</w:t>
            </w:r>
          </w:p>
          <w:p>
            <w:pPr>
              <w:keepNext w:val="0"/>
              <w:keepLines w:val="0"/>
              <w:pageBreakBefore w:val="0"/>
              <w:widowControl w:val="0"/>
              <w:kinsoku/>
              <w:wordWrap/>
              <w:overflowPunct/>
              <w:topLinePunct w:val="0"/>
              <w:autoSpaceDE/>
              <w:autoSpaceDN/>
              <w:bidi w:val="0"/>
              <w:adjustRightInd w:val="0"/>
              <w:snapToGrid w:val="0"/>
              <w:spacing w:line="348"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fldChar w:fldCharType="begin"/>
            </w:r>
            <w:r>
              <w:rPr>
                <w:rFonts w:hint="eastAsia" w:ascii="Times New Roman" w:hAnsi="Times New Roman" w:eastAsia="仿宋_GB2312" w:cs="Times New Roman"/>
                <w:color w:val="auto"/>
                <w:sz w:val="24"/>
                <w:szCs w:val="24"/>
                <w:highlight w:val="none"/>
                <w:lang w:val="en-US" w:eastAsia="zh-CN"/>
              </w:rPr>
              <w:instrText xml:space="preserve"> = 1 \* GB2 \* MERGEFORMAT </w:instrText>
            </w:r>
            <w:r>
              <w:rPr>
                <w:rFonts w:hint="eastAsia" w:ascii="Times New Roman" w:hAnsi="Times New Roman" w:eastAsia="仿宋_GB2312" w:cs="Times New Roman"/>
                <w:color w:val="auto"/>
                <w:sz w:val="24"/>
                <w:szCs w:val="24"/>
                <w:highlight w:val="none"/>
                <w:lang w:val="en-US" w:eastAsia="zh-CN"/>
              </w:rPr>
              <w:fldChar w:fldCharType="separate"/>
            </w:r>
            <w:r>
              <w:rPr>
                <w:color w:val="auto"/>
                <w:sz w:val="24"/>
                <w:szCs w:val="24"/>
                <w:highlight w:val="none"/>
              </w:rPr>
              <w:t>⑴</w:t>
            </w:r>
            <w:r>
              <w:rPr>
                <w:rFonts w:hint="eastAsia" w:ascii="Times New Roman" w:hAnsi="Times New Roman" w:eastAsia="仿宋_GB2312" w:cs="Times New Roman"/>
                <w:color w:val="auto"/>
                <w:sz w:val="24"/>
                <w:szCs w:val="24"/>
                <w:highlight w:val="none"/>
                <w:lang w:val="en-US" w:eastAsia="zh-CN"/>
              </w:rPr>
              <w:fldChar w:fldCharType="end"/>
            </w:r>
            <w:r>
              <w:rPr>
                <w:rFonts w:hint="eastAsia" w:ascii="Times New Roman" w:hAnsi="Times New Roman" w:eastAsia="仿宋_GB2312" w:cs="Times New Roman"/>
                <w:color w:val="auto"/>
                <w:sz w:val="24"/>
                <w:szCs w:val="24"/>
                <w:highlight w:val="none"/>
                <w:lang w:val="en-US" w:eastAsia="zh-CN"/>
              </w:rPr>
              <w:t>噪声源控制</w:t>
            </w:r>
          </w:p>
          <w:p>
            <w:pPr>
              <w:keepNext w:val="0"/>
              <w:keepLines w:val="0"/>
              <w:pageBreakBefore w:val="0"/>
              <w:widowControl w:val="0"/>
              <w:kinsoku/>
              <w:wordWrap/>
              <w:overflowPunct/>
              <w:topLinePunct w:val="0"/>
              <w:autoSpaceDE/>
              <w:autoSpaceDN/>
              <w:bidi w:val="0"/>
              <w:adjustRightInd w:val="0"/>
              <w:snapToGrid w:val="0"/>
              <w:spacing w:line="348"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选用符合国家相关标准的低噪声施工机械设备，并加强对机械设备的检查、维护和保养，从源强和运行上降低噪声影响。尽量避免在同一施工地点放置较多的动力设备，以避免局部声级过高。</w:t>
            </w:r>
          </w:p>
          <w:p>
            <w:pPr>
              <w:keepNext w:val="0"/>
              <w:keepLines w:val="0"/>
              <w:pageBreakBefore w:val="0"/>
              <w:widowControl w:val="0"/>
              <w:kinsoku/>
              <w:wordWrap/>
              <w:overflowPunct/>
              <w:topLinePunct w:val="0"/>
              <w:autoSpaceDE/>
              <w:autoSpaceDN/>
              <w:bidi w:val="0"/>
              <w:adjustRightInd w:val="0"/>
              <w:snapToGrid w:val="0"/>
              <w:spacing w:line="348"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fldChar w:fldCharType="begin"/>
            </w:r>
            <w:r>
              <w:rPr>
                <w:rFonts w:hint="eastAsia" w:ascii="Times New Roman" w:hAnsi="Times New Roman" w:eastAsia="仿宋_GB2312" w:cs="Times New Roman"/>
                <w:color w:val="auto"/>
                <w:sz w:val="24"/>
                <w:szCs w:val="24"/>
                <w:highlight w:val="none"/>
                <w:lang w:val="en-US" w:eastAsia="zh-CN"/>
              </w:rPr>
              <w:instrText xml:space="preserve"> = 2 \* GB2 \* MERGEFORMAT </w:instrText>
            </w:r>
            <w:r>
              <w:rPr>
                <w:rFonts w:hint="eastAsia" w:ascii="Times New Roman" w:hAnsi="Times New Roman" w:eastAsia="仿宋_GB2312" w:cs="Times New Roman"/>
                <w:color w:val="auto"/>
                <w:sz w:val="24"/>
                <w:szCs w:val="24"/>
                <w:highlight w:val="none"/>
                <w:lang w:val="en-US" w:eastAsia="zh-CN"/>
              </w:rPr>
              <w:fldChar w:fldCharType="separate"/>
            </w:r>
            <w:r>
              <w:rPr>
                <w:color w:val="auto"/>
                <w:sz w:val="24"/>
                <w:szCs w:val="24"/>
                <w:highlight w:val="none"/>
              </w:rPr>
              <w:t>⑵</w:t>
            </w:r>
            <w:r>
              <w:rPr>
                <w:rFonts w:hint="eastAsia" w:ascii="Times New Roman" w:hAnsi="Times New Roman" w:eastAsia="仿宋_GB2312" w:cs="Times New Roman"/>
                <w:color w:val="auto"/>
                <w:sz w:val="24"/>
                <w:szCs w:val="24"/>
                <w:highlight w:val="none"/>
                <w:lang w:val="en-US" w:eastAsia="zh-CN"/>
              </w:rPr>
              <w:fldChar w:fldCharType="end"/>
            </w:r>
            <w:r>
              <w:rPr>
                <w:rFonts w:hint="eastAsia" w:ascii="Times New Roman" w:hAnsi="Times New Roman" w:eastAsia="仿宋_GB2312" w:cs="Times New Roman"/>
                <w:color w:val="auto"/>
                <w:sz w:val="24"/>
                <w:szCs w:val="24"/>
                <w:highlight w:val="none"/>
                <w:lang w:val="en-US" w:eastAsia="zh-CN"/>
              </w:rPr>
              <w:t>管理措施</w:t>
            </w:r>
          </w:p>
          <w:p>
            <w:pPr>
              <w:keepNext w:val="0"/>
              <w:keepLines w:val="0"/>
              <w:pageBreakBefore w:val="0"/>
              <w:widowControl w:val="0"/>
              <w:kinsoku/>
              <w:wordWrap/>
              <w:overflowPunct/>
              <w:topLinePunct w:val="0"/>
              <w:autoSpaceDE/>
              <w:autoSpaceDN/>
              <w:bidi w:val="0"/>
              <w:adjustRightInd w:val="0"/>
              <w:snapToGrid w:val="0"/>
              <w:spacing w:line="348"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施工交通穿过噪声敏感区村庄路段，行车速度控制在</w:t>
            </w:r>
            <w:r>
              <w:rPr>
                <w:rFonts w:hint="default" w:ascii="Times New Roman" w:hAnsi="Times New Roman" w:eastAsia="仿宋_GB2312" w:cs="Times New Roman"/>
                <w:color w:val="auto"/>
                <w:sz w:val="24"/>
                <w:szCs w:val="24"/>
                <w:highlight w:val="none"/>
                <w:lang w:val="en-US" w:eastAsia="zh-CN"/>
              </w:rPr>
              <w:t>25km/h</w:t>
            </w:r>
            <w:r>
              <w:rPr>
                <w:rFonts w:hint="eastAsia" w:ascii="Times New Roman" w:hAnsi="Times New Roman" w:eastAsia="仿宋_GB2312" w:cs="Times New Roman"/>
                <w:color w:val="auto"/>
                <w:sz w:val="24"/>
                <w:szCs w:val="24"/>
                <w:highlight w:val="none"/>
                <w:lang w:val="en-US" w:eastAsia="zh-CN"/>
              </w:rPr>
              <w:t>以内，并限速标志和禁止鸣笛。</w:t>
            </w:r>
            <w:r>
              <w:rPr>
                <w:rFonts w:hint="eastAsia" w:eastAsia="仿宋_GB2312" w:cs="Times New Roman"/>
                <w:color w:val="auto"/>
                <w:sz w:val="24"/>
                <w:szCs w:val="24"/>
                <w:highlight w:val="none"/>
                <w:lang w:val="en-US" w:eastAsia="zh-CN"/>
              </w:rPr>
              <w:t>夜间不开展施工作业</w:t>
            </w:r>
            <w:r>
              <w:rPr>
                <w:rFonts w:hint="eastAsia" w:ascii="Times New Roman" w:hAnsi="Times New Roman" w:eastAsia="仿宋_GB2312"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48"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fldChar w:fldCharType="begin"/>
            </w:r>
            <w:r>
              <w:rPr>
                <w:rFonts w:hint="default" w:ascii="Times New Roman" w:hAnsi="Times New Roman" w:eastAsia="仿宋_GB2312" w:cs="Times New Roman"/>
                <w:color w:val="auto"/>
                <w:sz w:val="24"/>
                <w:szCs w:val="24"/>
                <w:highlight w:val="none"/>
                <w:lang w:val="en-US" w:eastAsia="zh-CN"/>
              </w:rPr>
              <w:instrText xml:space="preserve"> = 3 \* GB2 \* MERGEFORMAT </w:instrText>
            </w:r>
            <w:r>
              <w:rPr>
                <w:rFonts w:hint="default" w:ascii="Times New Roman" w:hAnsi="Times New Roman" w:eastAsia="仿宋_GB2312" w:cs="Times New Roman"/>
                <w:color w:val="auto"/>
                <w:sz w:val="24"/>
                <w:szCs w:val="24"/>
                <w:highlight w:val="none"/>
                <w:lang w:val="en-US" w:eastAsia="zh-CN"/>
              </w:rPr>
              <w:fldChar w:fldCharType="separate"/>
            </w:r>
            <w:r>
              <w:rPr>
                <w:color w:val="auto"/>
                <w:sz w:val="24"/>
                <w:szCs w:val="24"/>
                <w:highlight w:val="none"/>
              </w:rPr>
              <w:t>⑶</w:t>
            </w:r>
            <w:r>
              <w:rPr>
                <w:rFonts w:hint="default" w:ascii="Times New Roman" w:hAnsi="Times New Roman" w:eastAsia="仿宋_GB2312" w:cs="Times New Roman"/>
                <w:color w:val="auto"/>
                <w:sz w:val="24"/>
                <w:szCs w:val="24"/>
                <w:highlight w:val="none"/>
                <w:lang w:val="en-US" w:eastAsia="zh-CN"/>
              </w:rPr>
              <w:fldChar w:fldCharType="end"/>
            </w:r>
            <w:r>
              <w:rPr>
                <w:rFonts w:hint="default" w:ascii="Times New Roman" w:hAnsi="Times New Roman" w:eastAsia="仿宋_GB2312" w:cs="Times New Roman"/>
                <w:color w:val="auto"/>
                <w:sz w:val="24"/>
                <w:szCs w:val="24"/>
                <w:highlight w:val="none"/>
                <w:lang w:val="en-US" w:eastAsia="zh-CN"/>
              </w:rPr>
              <w:t>施工时应尽可能避免高噪声设备同时施工。施工单位应对施工中可能出现的扰民现象及时予以公告，并接受公众监督。控制施工场界噪声满足《建筑施工噪声排放标准》（GB12523-20</w:t>
            </w:r>
            <w:r>
              <w:rPr>
                <w:rFonts w:hint="eastAsia" w:eastAsia="仿宋_GB2312" w:cs="Times New Roman"/>
                <w:color w:val="auto"/>
                <w:sz w:val="24"/>
                <w:szCs w:val="24"/>
                <w:highlight w:val="none"/>
                <w:lang w:val="en-US" w:eastAsia="zh-CN"/>
              </w:rPr>
              <w:t>25</w:t>
            </w:r>
            <w:r>
              <w:rPr>
                <w:rFonts w:hint="default" w:ascii="Times New Roman" w:hAnsi="Times New Roman" w:eastAsia="仿宋_GB2312" w:cs="Times New Roman"/>
                <w:color w:val="auto"/>
                <w:sz w:val="24"/>
                <w:szCs w:val="24"/>
                <w:highlight w:val="none"/>
                <w:lang w:val="en-US" w:eastAsia="zh-CN"/>
              </w:rPr>
              <w:t>）中昼间≤75dB(A)标准限值。</w:t>
            </w:r>
          </w:p>
          <w:p>
            <w:pPr>
              <w:keepNext w:val="0"/>
              <w:keepLines w:val="0"/>
              <w:pageBreakBefore w:val="0"/>
              <w:widowControl w:val="0"/>
              <w:kinsoku/>
              <w:wordWrap/>
              <w:overflowPunct/>
              <w:topLinePunct w:val="0"/>
              <w:autoSpaceDE/>
              <w:autoSpaceDN/>
              <w:bidi w:val="0"/>
              <w:adjustRightInd w:val="0"/>
              <w:snapToGrid w:val="0"/>
              <w:spacing w:line="348" w:lineRule="auto"/>
              <w:textAlignment w:val="auto"/>
              <w:rPr>
                <w:rFonts w:hint="default" w:ascii="Times New Roman" w:hAnsi="Times New Roman" w:eastAsia="仿宋_GB2312" w:cs="Times New Roman"/>
                <w:b/>
                <w:bCs/>
                <w:color w:val="auto"/>
                <w:sz w:val="24"/>
                <w:szCs w:val="24"/>
                <w:highlight w:val="none"/>
                <w:lang w:val="en-US" w:eastAsia="zh-CN"/>
              </w:rPr>
            </w:pPr>
            <w:r>
              <w:rPr>
                <w:rFonts w:hint="default" w:ascii="Times New Roman" w:hAnsi="Times New Roman" w:eastAsia="仿宋_GB2312" w:cs="Times New Roman"/>
                <w:b/>
                <w:bCs/>
                <w:color w:val="auto"/>
                <w:sz w:val="24"/>
                <w:szCs w:val="24"/>
                <w:highlight w:val="none"/>
                <w:lang w:val="en-US" w:eastAsia="zh-CN"/>
              </w:rPr>
              <w:t>5、</w:t>
            </w:r>
            <w:r>
              <w:rPr>
                <w:rFonts w:hint="eastAsia" w:ascii="Times New Roman" w:hAnsi="Times New Roman" w:eastAsia="仿宋_GB2312" w:cs="Times New Roman"/>
                <w:b/>
                <w:bCs/>
                <w:color w:val="auto"/>
                <w:sz w:val="24"/>
                <w:szCs w:val="24"/>
                <w:highlight w:val="none"/>
                <w:lang w:val="en-US" w:eastAsia="zh-CN"/>
              </w:rPr>
              <w:t>施工期固废污染防治</w:t>
            </w:r>
            <w:r>
              <w:rPr>
                <w:rFonts w:hint="default" w:ascii="Times New Roman" w:hAnsi="Times New Roman" w:eastAsia="仿宋_GB2312" w:cs="Times New Roman"/>
                <w:b/>
                <w:bCs/>
                <w:color w:val="auto"/>
                <w:sz w:val="24"/>
                <w:szCs w:val="24"/>
                <w:highlight w:val="none"/>
                <w:lang w:val="en-US" w:eastAsia="zh-CN"/>
              </w:rPr>
              <w:t>措施</w:t>
            </w:r>
          </w:p>
          <w:p>
            <w:pPr>
              <w:keepNext w:val="0"/>
              <w:keepLines w:val="0"/>
              <w:pageBreakBefore w:val="0"/>
              <w:widowControl w:val="0"/>
              <w:kinsoku/>
              <w:wordWrap/>
              <w:overflowPunct/>
              <w:topLinePunct w:val="0"/>
              <w:autoSpaceDE/>
              <w:autoSpaceDN/>
              <w:bidi w:val="0"/>
              <w:adjustRightInd w:val="0"/>
              <w:snapToGrid w:val="0"/>
              <w:spacing w:line="348" w:lineRule="auto"/>
              <w:ind w:firstLine="480" w:firstLineChars="200"/>
              <w:textAlignment w:val="auto"/>
              <w:rPr>
                <w:rFonts w:hint="default" w:ascii="Times New Roman" w:hAnsi="Times New Roman" w:eastAsia="仿宋_GB2312" w:cs="Times New Roman"/>
                <w:b w:val="0"/>
                <w:bCs w:val="0"/>
                <w:color w:val="auto"/>
                <w:kern w:val="2"/>
                <w:sz w:val="24"/>
                <w:szCs w:val="24"/>
                <w:highlight w:val="none"/>
                <w:lang w:val="en-US" w:eastAsia="zh-CN" w:bidi="ar-SA"/>
              </w:rPr>
            </w:pPr>
            <w:r>
              <w:rPr>
                <w:rFonts w:hint="eastAsia" w:ascii="Times New Roman" w:hAnsi="Times New Roman" w:eastAsia="仿宋_GB2312" w:cs="Times New Roman"/>
                <w:color w:val="auto"/>
                <w:sz w:val="24"/>
                <w:szCs w:val="24"/>
                <w:highlight w:val="none"/>
                <w:lang w:val="en-US" w:eastAsia="zh-CN"/>
              </w:rPr>
              <w:t>本项目固体废弃物主要为施工人员产生的生活垃圾和设备安装产生的废包装。本项目施工期平均人数估算为30人，人均每天生活垃圾产生量按</w:t>
            </w:r>
            <w:r>
              <w:rPr>
                <w:rFonts w:hint="default" w:ascii="Times New Roman" w:hAnsi="Times New Roman" w:eastAsia="仿宋_GB2312" w:cs="Times New Roman"/>
                <w:color w:val="auto"/>
                <w:sz w:val="24"/>
                <w:szCs w:val="24"/>
                <w:highlight w:val="none"/>
                <w:lang w:val="en-US" w:eastAsia="zh-CN"/>
              </w:rPr>
              <w:t>0.</w:t>
            </w:r>
            <w:r>
              <w:rPr>
                <w:rFonts w:hint="eastAsia" w:ascii="Times New Roman" w:hAnsi="Times New Roman" w:eastAsia="仿宋_GB2312" w:cs="Times New Roman"/>
                <w:color w:val="auto"/>
                <w:sz w:val="24"/>
                <w:szCs w:val="24"/>
                <w:highlight w:val="none"/>
                <w:lang w:val="en-US" w:eastAsia="zh-CN"/>
              </w:rPr>
              <w:t>5</w:t>
            </w:r>
            <w:r>
              <w:rPr>
                <w:rFonts w:hint="default" w:ascii="Times New Roman" w:hAnsi="Times New Roman" w:eastAsia="仿宋_GB2312" w:cs="Times New Roman"/>
                <w:color w:val="auto"/>
                <w:sz w:val="24"/>
                <w:szCs w:val="24"/>
                <w:highlight w:val="none"/>
                <w:lang w:val="en-US" w:eastAsia="zh-CN"/>
              </w:rPr>
              <w:t>kg</w:t>
            </w:r>
            <w:r>
              <w:rPr>
                <w:rFonts w:hint="eastAsia" w:ascii="Times New Roman" w:hAnsi="Times New Roman" w:eastAsia="仿宋_GB2312" w:cs="Times New Roman"/>
                <w:color w:val="auto"/>
                <w:sz w:val="24"/>
                <w:szCs w:val="24"/>
                <w:highlight w:val="none"/>
                <w:lang w:val="en-US" w:eastAsia="zh-CN"/>
              </w:rPr>
              <w:t>计算，则生活垃圾产生量为15</w:t>
            </w:r>
            <w:r>
              <w:rPr>
                <w:rFonts w:hint="default" w:ascii="Times New Roman" w:hAnsi="Times New Roman" w:eastAsia="仿宋_GB2312" w:cs="Times New Roman"/>
                <w:color w:val="auto"/>
                <w:sz w:val="24"/>
                <w:szCs w:val="24"/>
                <w:highlight w:val="none"/>
                <w:lang w:val="en-US" w:eastAsia="zh-CN"/>
              </w:rPr>
              <w:t>kg/d</w:t>
            </w:r>
            <w:r>
              <w:rPr>
                <w:rFonts w:hint="eastAsia" w:ascii="Times New Roman" w:hAnsi="Times New Roman" w:eastAsia="仿宋_GB2312" w:cs="Times New Roman"/>
                <w:color w:val="auto"/>
                <w:sz w:val="24"/>
                <w:szCs w:val="24"/>
                <w:highlight w:val="none"/>
                <w:lang w:val="en-US" w:eastAsia="zh-CN"/>
              </w:rPr>
              <w:t>。施工工区设置垃圾桶1个，生活垃圾及时清运至就近生活垃圾中转站由环卫部门处置，减少施工期固废影响。</w:t>
            </w:r>
            <w:r>
              <w:rPr>
                <w:rFonts w:hint="default" w:ascii="Times New Roman" w:hAnsi="Times New Roman" w:eastAsia="仿宋_GB2312" w:cs="Times New Roman"/>
                <w:color w:val="auto"/>
                <w:sz w:val="24"/>
                <w:szCs w:val="24"/>
                <w:highlight w:val="none"/>
                <w:lang w:val="en-US" w:eastAsia="zh-CN"/>
              </w:rPr>
              <w:t>产生的废包装材料集中收集后送至指定地点进行处理，加强施工人员管理，不得随意丢弃废包装材料。</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193" w:hRule="atLeast"/>
          <w:jc w:val="center"/>
        </w:trPr>
        <w:tc>
          <w:tcPr>
            <w:tcW w:w="511" w:type="dxa"/>
            <w:tcBorders>
              <w:tl2br w:val="nil"/>
              <w:tr2bl w:val="nil"/>
            </w:tcBorders>
            <w:tcMar>
              <w:left w:w="28" w:type="dxa"/>
              <w:right w:w="28" w:type="dxa"/>
            </w:tcMar>
            <w:vAlign w:val="center"/>
          </w:tcPr>
          <w:p>
            <w:pPr>
              <w:adjustRightInd w:val="0"/>
              <w:spacing w:line="240" w:lineRule="auto"/>
              <w:jc w:val="center"/>
              <w:rPr>
                <w:rFonts w:hint="default" w:ascii="Times New Roman" w:hAnsi="Times New Roman" w:eastAsia="仿宋_GB2312" w:cs="Times New Roman"/>
                <w:color w:val="auto"/>
                <w:highlight w:val="none"/>
                <w:lang w:eastAsia="zh-CN"/>
              </w:rPr>
            </w:pPr>
            <w:r>
              <w:rPr>
                <w:rFonts w:hint="default" w:ascii="Times New Roman" w:hAnsi="Times New Roman" w:eastAsia="仿宋_GB2312" w:cs="Times New Roman"/>
                <w:b/>
                <w:bCs/>
                <w:color w:val="auto"/>
                <w:kern w:val="2"/>
                <w:sz w:val="24"/>
                <w:szCs w:val="24"/>
                <w:highlight w:val="none"/>
                <w:lang w:val="en-US" w:eastAsia="zh-CN" w:bidi="ar-SA"/>
              </w:rPr>
              <w:t>运营期生态环境保护措施</w:t>
            </w:r>
          </w:p>
        </w:tc>
        <w:tc>
          <w:tcPr>
            <w:tcW w:w="86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bCs/>
                <w:color w:val="auto"/>
                <w:kern w:val="2"/>
                <w:sz w:val="24"/>
                <w:szCs w:val="24"/>
                <w:highlight w:val="none"/>
                <w:lang w:val="en-US" w:eastAsia="zh-CN" w:bidi="ar-SA"/>
              </w:rPr>
              <w:t>本项目</w:t>
            </w:r>
            <w:r>
              <w:rPr>
                <w:rFonts w:hint="eastAsia" w:eastAsia="仿宋_GB2312" w:cs="Times New Roman"/>
                <w:bCs/>
                <w:color w:val="auto"/>
                <w:kern w:val="2"/>
                <w:sz w:val="24"/>
                <w:szCs w:val="24"/>
                <w:highlight w:val="none"/>
                <w:lang w:val="en-US" w:eastAsia="zh-CN" w:bidi="ar-SA"/>
              </w:rPr>
              <w:t>运营期无废气产生</w:t>
            </w:r>
          </w:p>
          <w:p>
            <w:pPr>
              <w:pStyle w:val="115"/>
              <w:spacing w:line="360" w:lineRule="auto"/>
              <w:rPr>
                <w:rFonts w:hint="default" w:ascii="Times New Roman" w:hAnsi="Times New Roman" w:eastAsia="仿宋_GB2312" w:cs="Times New Roman"/>
                <w:color w:val="auto"/>
                <w:highlight w:val="none"/>
                <w:lang w:val="en-US" w:eastAsia="zh-CN"/>
              </w:rPr>
            </w:pPr>
            <w:r>
              <w:rPr>
                <w:rFonts w:hint="eastAsia" w:ascii="Times New Roman" w:hAnsi="Times New Roman" w:eastAsia="仿宋_GB2312" w:cs="Times New Roman"/>
                <w:color w:val="auto"/>
                <w:highlight w:val="none"/>
                <w:lang w:val="en-US" w:eastAsia="zh-CN"/>
              </w:rPr>
              <w:t>项目运营期废水主要为生活污水、空气能热泵排水。</w:t>
            </w:r>
            <w:r>
              <w:rPr>
                <w:rFonts w:hint="default" w:ascii="Times New Roman" w:hAnsi="Times New Roman" w:eastAsia="仿宋_GB2312" w:cs="Times New Roman"/>
                <w:color w:val="auto"/>
                <w:highlight w:val="none"/>
                <w:lang w:val="en-US" w:eastAsia="zh-CN"/>
              </w:rPr>
              <w:t>生活污水产生量按80%计，产生量为</w:t>
            </w:r>
            <w:r>
              <w:rPr>
                <w:rFonts w:hint="eastAsia" w:ascii="Times New Roman" w:hAnsi="Times New Roman" w:eastAsia="仿宋_GB2312" w:cs="Times New Roman"/>
                <w:color w:val="auto"/>
                <w:highlight w:val="none"/>
                <w:lang w:val="en-US" w:eastAsia="zh-CN"/>
              </w:rPr>
              <w:t>2000</w:t>
            </w:r>
            <w:r>
              <w:rPr>
                <w:rFonts w:hint="default" w:ascii="Times New Roman" w:hAnsi="Times New Roman" w:eastAsia="仿宋_GB2312" w:cs="Times New Roman"/>
                <w:color w:val="auto"/>
                <w:highlight w:val="none"/>
                <w:lang w:val="en-US" w:eastAsia="zh-CN"/>
              </w:rPr>
              <w:t>m</w:t>
            </w:r>
            <w:r>
              <w:rPr>
                <w:rFonts w:hint="default" w:ascii="Times New Roman" w:hAnsi="Times New Roman" w:eastAsia="仿宋_GB2312" w:cs="Times New Roman"/>
                <w:color w:val="auto"/>
                <w:highlight w:val="none"/>
                <w:vertAlign w:val="superscript"/>
                <w:lang w:val="en-US" w:eastAsia="zh-CN"/>
              </w:rPr>
              <w:t>3</w:t>
            </w:r>
            <w:r>
              <w:rPr>
                <w:rFonts w:hint="default" w:ascii="Times New Roman" w:hAnsi="Times New Roman" w:eastAsia="仿宋_GB2312" w:cs="Times New Roman"/>
                <w:color w:val="auto"/>
                <w:highlight w:val="none"/>
                <w:lang w:val="en-US" w:eastAsia="zh-CN"/>
              </w:rPr>
              <w:t>/a（</w:t>
            </w:r>
            <w:r>
              <w:rPr>
                <w:rFonts w:hint="eastAsia" w:ascii="Times New Roman" w:hAnsi="Times New Roman" w:eastAsia="仿宋_GB2312" w:cs="Times New Roman"/>
                <w:color w:val="auto"/>
                <w:highlight w:val="none"/>
                <w:lang w:val="en-US" w:eastAsia="zh-CN"/>
              </w:rPr>
              <w:t>6.06</w:t>
            </w:r>
            <w:r>
              <w:rPr>
                <w:rFonts w:hint="default" w:ascii="Times New Roman" w:hAnsi="Times New Roman" w:eastAsia="仿宋_GB2312" w:cs="Times New Roman"/>
                <w:color w:val="auto"/>
                <w:highlight w:val="none"/>
                <w:lang w:val="en-US" w:eastAsia="zh-CN"/>
              </w:rPr>
              <w:t>m</w:t>
            </w:r>
            <w:r>
              <w:rPr>
                <w:rFonts w:hint="default" w:ascii="Times New Roman" w:hAnsi="Times New Roman" w:eastAsia="仿宋_GB2312" w:cs="Times New Roman"/>
                <w:color w:val="auto"/>
                <w:highlight w:val="none"/>
                <w:vertAlign w:val="superscript"/>
                <w:lang w:val="en-US" w:eastAsia="zh-CN"/>
              </w:rPr>
              <w:t>3</w:t>
            </w:r>
            <w:r>
              <w:rPr>
                <w:rFonts w:hint="default" w:ascii="Times New Roman" w:hAnsi="Times New Roman" w:eastAsia="仿宋_GB2312" w:cs="Times New Roman"/>
                <w:color w:val="auto"/>
                <w:highlight w:val="none"/>
                <w:lang w:val="en-US" w:eastAsia="zh-CN"/>
              </w:rPr>
              <w:t>/d），利用周边居民旱厕，定期清掏，用于周边农田施肥。少量盥洗废水用于泼洒抑尘</w:t>
            </w:r>
            <w:r>
              <w:rPr>
                <w:rFonts w:hint="eastAsia" w:ascii="Times New Roman" w:hAnsi="Times New Roman" w:eastAsia="仿宋_GB2312" w:cs="Times New Roman"/>
                <w:color w:val="auto"/>
                <w:highlight w:val="none"/>
                <w:lang w:val="en-US" w:eastAsia="zh-CN"/>
              </w:rPr>
              <w:t>。空气能热泵排水产生量为660m</w:t>
            </w:r>
            <w:r>
              <w:rPr>
                <w:rFonts w:hint="eastAsia" w:ascii="Times New Roman" w:hAnsi="Times New Roman" w:eastAsia="仿宋_GB2312" w:cs="Times New Roman"/>
                <w:color w:val="auto"/>
                <w:highlight w:val="none"/>
                <w:vertAlign w:val="superscript"/>
                <w:lang w:val="en-US" w:eastAsia="zh-CN"/>
              </w:rPr>
              <w:t>3</w:t>
            </w:r>
            <w:r>
              <w:rPr>
                <w:rFonts w:hint="eastAsia" w:ascii="Times New Roman" w:hAnsi="Times New Roman" w:eastAsia="仿宋_GB2312" w:cs="Times New Roman"/>
                <w:color w:val="auto"/>
                <w:highlight w:val="none"/>
                <w:lang w:val="en-US" w:eastAsia="zh-CN"/>
              </w:rPr>
              <w:t>/a（2m</w:t>
            </w:r>
            <w:r>
              <w:rPr>
                <w:rFonts w:hint="eastAsia" w:ascii="Times New Roman" w:hAnsi="Times New Roman" w:eastAsia="仿宋_GB2312" w:cs="Times New Roman"/>
                <w:color w:val="auto"/>
                <w:highlight w:val="none"/>
                <w:vertAlign w:val="superscript"/>
                <w:lang w:val="en-US" w:eastAsia="zh-CN"/>
              </w:rPr>
              <w:t>3</w:t>
            </w:r>
            <w:r>
              <w:rPr>
                <w:rFonts w:hint="eastAsia" w:ascii="Times New Roman" w:hAnsi="Times New Roman" w:eastAsia="仿宋_GB2312" w:cs="Times New Roman"/>
                <w:color w:val="auto"/>
                <w:highlight w:val="none"/>
                <w:lang w:val="en-US" w:eastAsia="zh-CN"/>
              </w:rPr>
              <w:t>/d），用于菌棒堆料棚洒水抑尘，不外排。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bCs/>
                <w:color w:val="auto"/>
                <w:kern w:val="2"/>
                <w:sz w:val="24"/>
                <w:szCs w:val="24"/>
                <w:highlight w:val="none"/>
                <w:lang w:val="en-US" w:eastAsia="zh-CN" w:bidi="ar-SA"/>
              </w:rPr>
            </w:pPr>
            <w:r>
              <w:rPr>
                <w:rFonts w:hint="eastAsia" w:ascii="Times New Roman" w:hAnsi="Times New Roman" w:eastAsia="仿宋_GB2312" w:cs="Times New Roman"/>
                <w:bCs/>
                <w:color w:val="auto"/>
                <w:kern w:val="2"/>
                <w:sz w:val="24"/>
                <w:szCs w:val="24"/>
                <w:highlight w:val="none"/>
                <w:lang w:val="en-US" w:eastAsia="zh-CN" w:bidi="ar-SA"/>
              </w:rPr>
              <w:t>噪声主要是</w:t>
            </w:r>
            <w:r>
              <w:rPr>
                <w:rFonts w:hint="eastAsia" w:eastAsia="仿宋_GB2312" w:cs="Times New Roman"/>
                <w:bCs/>
                <w:color w:val="auto"/>
                <w:kern w:val="2"/>
                <w:sz w:val="24"/>
                <w:szCs w:val="24"/>
                <w:highlight w:val="none"/>
                <w:lang w:val="en-US" w:eastAsia="zh-CN" w:bidi="ar-SA"/>
              </w:rPr>
              <w:t>各类设备</w:t>
            </w:r>
            <w:r>
              <w:rPr>
                <w:rFonts w:hint="eastAsia" w:ascii="Times New Roman" w:hAnsi="Times New Roman" w:eastAsia="仿宋_GB2312" w:cs="Times New Roman"/>
                <w:bCs/>
                <w:color w:val="auto"/>
                <w:kern w:val="2"/>
                <w:sz w:val="24"/>
                <w:szCs w:val="24"/>
                <w:highlight w:val="none"/>
                <w:lang w:val="en-US" w:eastAsia="zh-CN" w:bidi="ar-SA"/>
              </w:rPr>
              <w:t>产生的机械噪声，本项目设备通过选用低噪音设备、基础减震、墙体阻隔、距离衰减等措施后，噪声对</w:t>
            </w:r>
            <w:r>
              <w:rPr>
                <w:rFonts w:hint="eastAsia" w:eastAsia="仿宋_GB2312" w:cs="Times New Roman"/>
                <w:bCs/>
                <w:color w:val="auto"/>
                <w:kern w:val="2"/>
                <w:sz w:val="24"/>
                <w:szCs w:val="24"/>
                <w:highlight w:val="none"/>
                <w:lang w:val="en-US" w:eastAsia="zh-CN" w:bidi="ar-SA"/>
              </w:rPr>
              <w:t>周围环运营期境影响可接受</w:t>
            </w:r>
            <w:r>
              <w:rPr>
                <w:rFonts w:hint="eastAsia" w:ascii="Times New Roman" w:hAnsi="Times New Roman" w:eastAsia="仿宋_GB2312" w:cs="Times New Roman"/>
                <w:bCs/>
                <w:color w:val="auto"/>
                <w:kern w:val="2"/>
                <w:sz w:val="24"/>
                <w:szCs w:val="24"/>
                <w:highlight w:val="none"/>
                <w:lang w:val="en-US" w:eastAsia="zh-CN" w:bidi="ar-SA"/>
              </w:rPr>
              <w:t>。</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color w:val="auto"/>
                <w:highlight w:val="none"/>
                <w:lang w:val="en-US"/>
              </w:rPr>
            </w:pPr>
            <w:r>
              <w:rPr>
                <w:rFonts w:hint="default" w:ascii="Times New Roman" w:hAnsi="Times New Roman" w:eastAsia="仿宋_GB2312" w:cs="Times New Roman"/>
                <w:color w:val="auto"/>
                <w:spacing w:val="0"/>
                <w:kern w:val="2"/>
                <w:sz w:val="24"/>
                <w:szCs w:val="24"/>
                <w:highlight w:val="none"/>
                <w:lang w:val="en-US" w:eastAsia="zh-CN" w:bidi="ar-SA"/>
              </w:rPr>
              <w:t>项目产生</w:t>
            </w:r>
            <w:r>
              <w:rPr>
                <w:rFonts w:hint="eastAsia" w:ascii="Times New Roman" w:hAnsi="Times New Roman" w:eastAsia="仿宋_GB2312" w:cs="Times New Roman"/>
                <w:color w:val="auto"/>
                <w:spacing w:val="0"/>
                <w:kern w:val="2"/>
                <w:sz w:val="24"/>
                <w:szCs w:val="24"/>
                <w:highlight w:val="none"/>
                <w:lang w:val="en-US" w:eastAsia="zh-CN" w:bidi="ar-SA"/>
              </w:rPr>
              <w:t>固体废物主要为废包装材料、生活垃圾、废弃菌棒。</w:t>
            </w:r>
            <w:r>
              <w:rPr>
                <w:rFonts w:hint="default" w:ascii="Times New Roman" w:hAnsi="Times New Roman" w:eastAsia="仿宋_GB2312" w:cs="Times New Roman"/>
                <w:color w:val="auto"/>
                <w:spacing w:val="0"/>
                <w:kern w:val="2"/>
                <w:sz w:val="24"/>
                <w:szCs w:val="24"/>
                <w:highlight w:val="none"/>
                <w:lang w:val="en-US" w:eastAsia="zh-CN" w:bidi="ar-SA"/>
              </w:rPr>
              <w:t>废包装材料集中收集后外售资源回收单位综合利用。生活垃圾集中收集后交环卫部门统一清运处理。</w:t>
            </w:r>
            <w:r>
              <w:rPr>
                <w:rFonts w:hint="eastAsia" w:ascii="Times New Roman" w:hAnsi="Times New Roman" w:eastAsia="仿宋_GB2312" w:cs="Times New Roman"/>
                <w:color w:val="auto"/>
                <w:spacing w:val="0"/>
                <w:kern w:val="2"/>
                <w:sz w:val="24"/>
                <w:szCs w:val="24"/>
                <w:highlight w:val="none"/>
                <w:lang w:val="en-US" w:eastAsia="zh-CN" w:bidi="ar-SA"/>
              </w:rPr>
              <w:t>废弃菌棒集中收集后外售综合利用。</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511" w:type="dxa"/>
            <w:tcBorders>
              <w:tl2br w:val="nil"/>
              <w:tr2bl w:val="nil"/>
            </w:tcBorders>
            <w:tcMar>
              <w:left w:w="28" w:type="dxa"/>
              <w:right w:w="28" w:type="dxa"/>
            </w:tcMar>
            <w:vAlign w:val="center"/>
          </w:tcPr>
          <w:p>
            <w:pPr>
              <w:adjustRightInd w:val="0"/>
              <w:snapToGrid w:val="0"/>
              <w:jc w:val="center"/>
              <w:rPr>
                <w:rFonts w:hint="default"/>
                <w:color w:val="auto"/>
                <w:highlight w:val="none"/>
                <w:lang w:val="en-US" w:eastAsia="zh-CN"/>
              </w:rPr>
            </w:pPr>
            <w:r>
              <w:rPr>
                <w:rFonts w:hint="default" w:ascii="Times New Roman" w:hAnsi="Times New Roman" w:eastAsia="仿宋_GB2312" w:cs="Times New Roman"/>
                <w:b/>
                <w:bCs/>
                <w:color w:val="auto"/>
                <w:sz w:val="24"/>
                <w:highlight w:val="none"/>
                <w:lang w:eastAsia="zh-CN"/>
              </w:rPr>
              <w:t>其</w:t>
            </w:r>
            <w:r>
              <w:rPr>
                <w:rFonts w:hint="eastAsia" w:eastAsia="仿宋_GB2312" w:cs="Times New Roman"/>
                <w:b/>
                <w:bCs/>
                <w:color w:val="auto"/>
                <w:sz w:val="24"/>
                <w:highlight w:val="none"/>
                <w:lang w:val="en-US" w:eastAsia="zh-CN"/>
              </w:rPr>
              <w:t>他</w:t>
            </w:r>
          </w:p>
        </w:tc>
        <w:tc>
          <w:tcPr>
            <w:tcW w:w="8690"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仿宋_GB2312" w:cs="Times New Roman"/>
                <w:b/>
                <w:bCs/>
                <w:color w:val="auto"/>
                <w:sz w:val="24"/>
                <w:szCs w:val="24"/>
                <w:highlight w:val="none"/>
                <w:lang w:val="en-US" w:eastAsia="zh-CN"/>
              </w:rPr>
            </w:pPr>
            <w:r>
              <w:rPr>
                <w:rFonts w:hint="eastAsia" w:ascii="Times New Roman" w:hAnsi="Times New Roman" w:eastAsia="仿宋_GB2312" w:cs="Times New Roman"/>
                <w:b/>
                <w:bCs/>
                <w:color w:val="auto"/>
                <w:sz w:val="24"/>
                <w:szCs w:val="24"/>
                <w:highlight w:val="none"/>
                <w:lang w:val="en-US" w:eastAsia="zh-CN"/>
              </w:rPr>
              <w:t>1、环境管理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根据国家环境保护管理规定，本次改造可在工程施工期、运营期组建环境管理机构，建立与培训环保管理干部队伍，以完成工程环境管理任务。根据工程环境管理任务的阶段性，工程施工期和运营期环境保护办公室分别由1名科室主任和卫生防疫、环境监测、水土保持、生态等专业的人员专职或兼职组成</w:t>
            </w:r>
            <w:r>
              <w:rPr>
                <w:rFonts w:hint="eastAsia" w:eastAsia="仿宋_GB2312"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①环境管理职责</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环境管理科室负责制定各项环境管理方面的规章制度、环境保护计划等，并协调和监督各部门的环境管理工作。</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A、施工期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a、贯彻执行和宣传国家有关环境保护的方针、政策、法规、条例，结合本工程特点及环境特征，执行相关环境管理的方针、政策；</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b、制订施工期环境保护计划，全面监督、管理施工期环保工作；</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c、负责施工期生态环境保护措施的实施、监督与管理工作，确保各项措施落实；</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d、负责检查和监督施工期水土保持方案落实情况，及时发现并处理问题；</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e、负责制定施工期废水、废气、噪声、固废污染防治措施，并监督各项污染防治措施的落实情况；</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f、负责落实报告中施工期环保措施及施工期监测计划；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g、会同地方环保部门检查、监督工程施工单位或承包商执行环境保护措施的情况，重点是施工过程中对生态环境的保护；</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h、负责环境保护资料和成果的归档工作。</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B、运营期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a、制定工程的环境保护规划和环境保护规章制度，制定环境管理办法和制度；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b、负责制定运营期水土流失防治计划和措施，并监督各项水土流失防治措施的落实情况；</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c、负责落实报告中运营期环保措施及运营期监测计划；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d、协助地方环保部门开展工程区内环境保护工作，处理与工程有关的环境问题。</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建设项目环境保护管理是指项目在施工期和营运期必须遵守国家、自治区、</w:t>
            </w:r>
            <w:r>
              <w:rPr>
                <w:rFonts w:hint="eastAsia" w:eastAsia="仿宋_GB2312" w:cs="Times New Roman"/>
                <w:color w:val="auto"/>
                <w:sz w:val="24"/>
                <w:szCs w:val="24"/>
                <w:highlight w:val="none"/>
                <w:lang w:val="en-US" w:eastAsia="zh-CN"/>
              </w:rPr>
              <w:t>固原</w:t>
            </w:r>
            <w:r>
              <w:rPr>
                <w:rFonts w:hint="eastAsia" w:ascii="Times New Roman" w:hAnsi="Times New Roman" w:eastAsia="仿宋_GB2312" w:cs="Times New Roman"/>
                <w:color w:val="auto"/>
                <w:sz w:val="24"/>
                <w:szCs w:val="24"/>
                <w:highlight w:val="none"/>
                <w:lang w:val="en-US" w:eastAsia="zh-CN"/>
              </w:rPr>
              <w:t>市的有关环境保护法律、法规、政策与标准，接受地方生态环境主管部门的监督，协调同有关部门的关系以及一切与改善环境有关的管理活动。</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仿宋_GB2312" w:cs="Times New Roman"/>
                <w:b/>
                <w:bCs/>
                <w:color w:val="auto"/>
                <w:sz w:val="24"/>
                <w:szCs w:val="24"/>
                <w:highlight w:val="none"/>
                <w:lang w:val="en-US" w:eastAsia="zh-CN"/>
              </w:rPr>
            </w:pPr>
            <w:r>
              <w:rPr>
                <w:rFonts w:hint="eastAsia" w:ascii="Times New Roman" w:hAnsi="Times New Roman" w:eastAsia="仿宋_GB2312" w:cs="Times New Roman"/>
                <w:b/>
                <w:bCs/>
                <w:color w:val="auto"/>
                <w:sz w:val="24"/>
                <w:szCs w:val="24"/>
                <w:highlight w:val="none"/>
                <w:lang w:val="en-US" w:eastAsia="zh-CN"/>
              </w:rPr>
              <w:t>2、环境监测计划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环境监测目的是为全面、及时掌握拟建项目污染动态，了解项目建设对所在地区的环境质量变化程度、影响范围及运营期的环境质量动态，及时向主管部门反馈信息，为项目的环境管理提供科学依据。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sz w:val="24"/>
                <w:szCs w:val="24"/>
                <w:highlight w:val="none"/>
                <w:lang w:val="en-US" w:eastAsia="zh-CN"/>
              </w:rPr>
              <w:t>环境监测目的是为全面、及时掌握拟建项目污染动态，了解项目建设对所在地区的环境质量变化程度、影响范围及运营期的环境质量动态，环境监测应按照国家和地方的环保要求进行，应采用国家规定的标准监测方法，并应按照规定，定期向有关环境保护主管部门上报监测结果。环境监测可按照根据《排污单位自行监测技术指南总则（HJ819-2017）及《国家重点监控企业自行监测及信息公开办法》进行自行监测，也可委托当地环境监测站或其他有资质单位进行监测，监控噪声及环保设施的运转状况。为了有效监控建设项目对环境的影响，公司环境管理部门应建立环境监测制度，定期委托当地有资质环境监测机构开展污染源及环境监测，以便及时掌握产排污规律，加强污染治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⑴施工期环境监测计划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本项目施工期环境管理、监测重点是对施工场界噪声和粉尘监测，建设单位或监理单位应委托具有监测资质的单位进行施工期环境监测，具体监测方案见表</w:t>
            </w:r>
            <w:r>
              <w:rPr>
                <w:rFonts w:hint="eastAsia" w:eastAsia="仿宋_GB2312" w:cs="Times New Roman"/>
                <w:color w:val="auto"/>
                <w:sz w:val="24"/>
                <w:szCs w:val="24"/>
                <w:highlight w:val="none"/>
                <w:lang w:val="en-US" w:eastAsia="zh-CN"/>
              </w:rPr>
              <w:t>41</w:t>
            </w:r>
            <w:r>
              <w:rPr>
                <w:rFonts w:hint="eastAsia" w:ascii="Times New Roman" w:hAnsi="Times New Roman" w:eastAsia="仿宋_GB2312"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表</w:t>
            </w:r>
            <w:r>
              <w:rPr>
                <w:rFonts w:hint="eastAsia" w:eastAsia="仿宋_GB2312" w:cs="Times New Roman"/>
                <w:color w:val="auto"/>
                <w:sz w:val="24"/>
                <w:szCs w:val="24"/>
                <w:highlight w:val="none"/>
                <w:lang w:val="en-US" w:eastAsia="zh-CN"/>
              </w:rPr>
              <w:t>41</w:t>
            </w:r>
            <w:r>
              <w:rPr>
                <w:rFonts w:hint="eastAsia" w:ascii="Times New Roman" w:hAnsi="Times New Roman" w:eastAsia="仿宋_GB2312" w:cs="Times New Roman"/>
                <w:color w:val="auto"/>
                <w:sz w:val="24"/>
                <w:szCs w:val="24"/>
                <w:highlight w:val="none"/>
                <w:lang w:val="en-US" w:eastAsia="zh-CN"/>
              </w:rPr>
              <w:t xml:space="preserve">             </w:t>
            </w:r>
            <w:r>
              <w:rPr>
                <w:rFonts w:hint="eastAsia" w:ascii="宋体" w:hAnsi="宋体" w:eastAsia="宋体" w:cs="宋体"/>
                <w:b/>
                <w:bCs/>
                <w:color w:val="auto"/>
                <w:sz w:val="24"/>
                <w:szCs w:val="24"/>
                <w:highlight w:val="none"/>
                <w:lang w:val="en-US" w:eastAsia="zh-CN"/>
              </w:rPr>
              <w:t>施工期环境管理</w:t>
            </w:r>
          </w:p>
          <w:tbl>
            <w:tblPr>
              <w:tblStyle w:val="77"/>
              <w:tblW w:w="8460"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45"/>
              <w:gridCol w:w="767"/>
              <w:gridCol w:w="5833"/>
              <w:gridCol w:w="131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8" w:hRule="atLeast"/>
                <w:jc w:val="center"/>
              </w:trPr>
              <w:tc>
                <w:tcPr>
                  <w:tcW w:w="545"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c>
                <w:tcPr>
                  <w:tcW w:w="76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污染源</w:t>
                  </w:r>
                </w:p>
              </w:tc>
              <w:tc>
                <w:tcPr>
                  <w:tcW w:w="5833"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污染防治措施及设施</w:t>
                  </w:r>
                </w:p>
              </w:tc>
              <w:tc>
                <w:tcPr>
                  <w:tcW w:w="1315"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预期效果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679" w:hRule="atLeast"/>
                <w:jc w:val="center"/>
              </w:trPr>
              <w:tc>
                <w:tcPr>
                  <w:tcW w:w="545" w:type="dxa"/>
                  <w:vMerge w:val="restart"/>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废气</w:t>
                  </w:r>
                </w:p>
              </w:tc>
              <w:tc>
                <w:tcPr>
                  <w:tcW w:w="76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施工扬尘</w:t>
                  </w:r>
                </w:p>
              </w:tc>
              <w:tc>
                <w:tcPr>
                  <w:tcW w:w="5833"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①合理选择施工道路，尽量减少临时道路；路基施工避开大风天气、定时洒水，“六个百分百”防尘措施；</w:t>
                  </w:r>
                </w:p>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②粉料运输车辆控制车速，并采取少量洒水与遮蔽抑尘措施；</w:t>
                  </w:r>
                </w:p>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④施工生活生产区料场远离敏感点、设置挡风围墙、洒水保湿等；</w:t>
                  </w:r>
                </w:p>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⑤及时清运建筑垃圾，施工结束后对临时占地进行必要的地表整平、绿化、美化，与原地貌保持一致。</w:t>
                  </w:r>
                </w:p>
              </w:tc>
              <w:tc>
                <w:tcPr>
                  <w:tcW w:w="1315" w:type="dxa"/>
                  <w:vMerge w:val="restart"/>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有效减轻其污染影 响程度和范围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62" w:hRule="atLeast"/>
                <w:jc w:val="center"/>
              </w:trPr>
              <w:tc>
                <w:tcPr>
                  <w:tcW w:w="545" w:type="dxa"/>
                  <w:vMerge w:val="continue"/>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p>
              </w:tc>
              <w:tc>
                <w:tcPr>
                  <w:tcW w:w="76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施工机械尾气</w:t>
                  </w:r>
                </w:p>
              </w:tc>
              <w:tc>
                <w:tcPr>
                  <w:tcW w:w="5833"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项目所在地较为开阔，空气流通较好，汽车排放的废气能够较快地扩散，不会对当地的环境空气产生较大影响，但项目建设过程中仍应采取控制措施，加强施工机械的维护，使环境空气质量受到的影响降至最低。</w:t>
                  </w:r>
                </w:p>
              </w:tc>
              <w:tc>
                <w:tcPr>
                  <w:tcW w:w="1315" w:type="dxa"/>
                  <w:vMerge w:val="continue"/>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679" w:hRule="atLeast"/>
                <w:jc w:val="center"/>
              </w:trPr>
              <w:tc>
                <w:tcPr>
                  <w:tcW w:w="545"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废水</w:t>
                  </w:r>
                </w:p>
              </w:tc>
              <w:tc>
                <w:tcPr>
                  <w:tcW w:w="76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施工废水和生活污水</w:t>
                  </w:r>
                </w:p>
              </w:tc>
              <w:tc>
                <w:tcPr>
                  <w:tcW w:w="5833"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①混凝土养护废水水应经沉淀后进行回用；</w:t>
                  </w:r>
                </w:p>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②禁止向项目区内水体中排放或倾倒生活垃圾和建筑垃圾；</w:t>
                  </w:r>
                </w:p>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③施工材料远离水体堆放，禁止堆放于河道，堆放场地应备有临时遮挡的帆布，防止大风暴雨冲刷而进入水体；</w:t>
                  </w:r>
                </w:p>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④施工作业完毕后及时清理施工现场，以防施工废料等随雨水进入河中；</w:t>
                  </w:r>
                </w:p>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⑤加强施工人员管理，增强施工人员的环保意识。</w:t>
                  </w:r>
                </w:p>
              </w:tc>
              <w:tc>
                <w:tcPr>
                  <w:tcW w:w="1315"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避免对区域水体环境的影响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6" w:hRule="atLeast"/>
                <w:jc w:val="center"/>
              </w:trPr>
              <w:tc>
                <w:tcPr>
                  <w:tcW w:w="545"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噪声</w:t>
                  </w:r>
                </w:p>
              </w:tc>
              <w:tc>
                <w:tcPr>
                  <w:tcW w:w="76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施工设备及车辆噪声</w:t>
                  </w:r>
                </w:p>
              </w:tc>
              <w:tc>
                <w:tcPr>
                  <w:tcW w:w="5833"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①选用低噪施工机械设备；</w:t>
                  </w:r>
                </w:p>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②合理安排高噪设备施工时间；</w:t>
                  </w:r>
                </w:p>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③物料运输路线尽量远离声敏感点。</w:t>
                  </w:r>
                </w:p>
              </w:tc>
              <w:tc>
                <w:tcPr>
                  <w:tcW w:w="1315"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达到《建筑施工噪声排放标准》（GB12523-20</w:t>
                  </w:r>
                  <w:r>
                    <w:rPr>
                      <w:rFonts w:hint="eastAsia" w:ascii="Times New Roman" w:hAnsi="Times New Roman" w:cs="Times New Roman"/>
                      <w:color w:val="auto"/>
                      <w:spacing w:val="-5"/>
                      <w:sz w:val="21"/>
                      <w:szCs w:val="21"/>
                      <w:highlight w:val="none"/>
                      <w:lang w:val="en-US" w:eastAsia="zh-CN"/>
                    </w:rPr>
                    <w:t>25</w:t>
                  </w:r>
                  <w:r>
                    <w:rPr>
                      <w:rFonts w:hint="default" w:ascii="Times New Roman" w:hAnsi="Times New Roman" w:eastAsia="宋体" w:cs="Times New Roman"/>
                      <w:color w:val="auto"/>
                      <w:spacing w:val="-5"/>
                      <w:sz w:val="21"/>
                      <w:szCs w:val="21"/>
                      <w:highlight w:val="none"/>
                    </w:rPr>
                    <w:t>）要求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22" w:hRule="atLeast"/>
                <w:jc w:val="center"/>
              </w:trPr>
              <w:tc>
                <w:tcPr>
                  <w:tcW w:w="545"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固废</w:t>
                  </w:r>
                </w:p>
              </w:tc>
              <w:tc>
                <w:tcPr>
                  <w:tcW w:w="76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建筑垃圾</w:t>
                  </w:r>
                </w:p>
              </w:tc>
              <w:tc>
                <w:tcPr>
                  <w:tcW w:w="5833"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按照当地环境卫生主管部门的规定处置建筑垃圾。</w:t>
                  </w:r>
                </w:p>
              </w:tc>
              <w:tc>
                <w:tcPr>
                  <w:tcW w:w="1315"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有效减少固废物的环境影响，减少项目水土流失</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46" w:hRule="atLeast"/>
                <w:jc w:val="center"/>
              </w:trPr>
              <w:tc>
                <w:tcPr>
                  <w:tcW w:w="545"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生态</w:t>
                  </w:r>
                </w:p>
              </w:tc>
              <w:tc>
                <w:tcPr>
                  <w:tcW w:w="76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工程生态恢复</w:t>
                  </w:r>
                </w:p>
              </w:tc>
              <w:tc>
                <w:tcPr>
                  <w:tcW w:w="5833"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划定施工作业带，避开雨季施工，尽量保留原有植被，并在施工完成后尽快根据原有土地利用类型采取相应的恢复措施。</w:t>
                  </w:r>
                </w:p>
              </w:tc>
              <w:tc>
                <w:tcPr>
                  <w:tcW w:w="1315"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临时占地土地功能得到恢复，生态环境逐步改善</w:t>
                  </w:r>
                </w:p>
              </w:tc>
            </w:tr>
          </w:tbl>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1" w:firstLineChars="200"/>
              <w:textAlignment w:val="auto"/>
              <w:rPr>
                <w:rFonts w:hint="eastAsia" w:ascii="Times New Roman" w:hAnsi="Times New Roman" w:eastAsia="仿宋_GB2312" w:cs="Times New Roman"/>
                <w:b/>
                <w:bCs/>
                <w:color w:val="auto"/>
                <w:kern w:val="2"/>
                <w:sz w:val="24"/>
                <w:szCs w:val="24"/>
                <w:highlight w:val="none"/>
                <w:lang w:val="en-US" w:eastAsia="zh-CN" w:bidi="ar-SA"/>
              </w:rPr>
            </w:pPr>
            <w:r>
              <w:rPr>
                <w:rFonts w:hint="eastAsia" w:ascii="Times New Roman" w:hAnsi="Times New Roman" w:eastAsia="仿宋_GB2312" w:cs="Times New Roman"/>
                <w:b/>
                <w:bCs/>
                <w:color w:val="auto"/>
                <w:kern w:val="2"/>
                <w:sz w:val="24"/>
                <w:szCs w:val="24"/>
                <w:highlight w:val="none"/>
                <w:lang w:val="en-US" w:eastAsia="zh-CN" w:bidi="ar-SA"/>
              </w:rPr>
              <w:t>运营期环境监测计划</w:t>
            </w:r>
          </w:p>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宋体" w:hAnsi="宋体" w:eastAsia="宋体" w:cs="宋体"/>
                <w:b/>
                <w:bCs/>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对照《排污单位自行监测技术指南 总则》（HJ819-2017）中的有关规定，本项目营运期厂界噪声监测计划见表42。</w:t>
            </w:r>
          </w:p>
          <w:p>
            <w:pPr>
              <w:pStyle w:val="90"/>
              <w:spacing w:line="213" w:lineRule="auto"/>
              <w:ind w:firstLine="420" w:firstLineChars="200"/>
              <w:rPr>
                <w:rFonts w:hint="eastAsia" w:ascii="宋体" w:hAnsi="宋体" w:eastAsia="宋体" w:cs="宋体"/>
                <w:b/>
                <w:bCs/>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表</w:t>
            </w:r>
            <w:r>
              <w:rPr>
                <w:rFonts w:hint="eastAsia" w:ascii="Times New Roman" w:hAnsi="Times New Roman" w:cs="Times New Roman"/>
                <w:b w:val="0"/>
                <w:bCs w:val="0"/>
                <w:color w:val="auto"/>
                <w:kern w:val="2"/>
                <w:sz w:val="21"/>
                <w:szCs w:val="21"/>
                <w:highlight w:val="none"/>
                <w:lang w:val="en-US" w:eastAsia="zh-CN" w:bidi="ar-SA"/>
              </w:rPr>
              <w:t>42</w:t>
            </w:r>
            <w:r>
              <w:rPr>
                <w:rFonts w:hint="default" w:ascii="Times New Roman" w:hAnsi="Times New Roman" w:eastAsia="宋体" w:cs="Times New Roman"/>
                <w:b w:val="0"/>
                <w:bCs w:val="0"/>
                <w:color w:val="auto"/>
                <w:kern w:val="2"/>
                <w:sz w:val="21"/>
                <w:szCs w:val="21"/>
                <w:highlight w:val="none"/>
                <w:lang w:val="en-US" w:eastAsia="zh-CN" w:bidi="ar-SA"/>
              </w:rPr>
              <w:t xml:space="preserve">            </w:t>
            </w:r>
            <w:r>
              <w:rPr>
                <w:rFonts w:hint="eastAsia" w:ascii="宋体" w:hAnsi="宋体" w:eastAsia="宋体" w:cs="宋体"/>
                <w:b/>
                <w:bCs/>
                <w:color w:val="auto"/>
                <w:kern w:val="2"/>
                <w:sz w:val="24"/>
                <w:szCs w:val="24"/>
                <w:highlight w:val="none"/>
                <w:lang w:val="en-US" w:eastAsia="zh-CN" w:bidi="ar-SA"/>
              </w:rPr>
              <w:t>运营期环境监测计划表</w:t>
            </w:r>
          </w:p>
          <w:tbl>
            <w:tblPr>
              <w:tblStyle w:val="77"/>
              <w:tblW w:w="4995"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79"/>
              <w:gridCol w:w="905"/>
              <w:gridCol w:w="1325"/>
              <w:gridCol w:w="3191"/>
              <w:gridCol w:w="233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79"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阶段</w:t>
                  </w:r>
                </w:p>
              </w:tc>
              <w:tc>
                <w:tcPr>
                  <w:tcW w:w="905"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类别</w:t>
                  </w:r>
                </w:p>
              </w:tc>
              <w:tc>
                <w:tcPr>
                  <w:tcW w:w="1325"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w:t>
                  </w:r>
                </w:p>
              </w:tc>
              <w:tc>
                <w:tcPr>
                  <w:tcW w:w="3191"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pacing w:val="-2"/>
                      <w:sz w:val="21"/>
                      <w:szCs w:val="21"/>
                      <w:highlight w:val="none"/>
                    </w:rPr>
                    <w:t>检测项目</w:t>
                  </w:r>
                </w:p>
              </w:tc>
              <w:tc>
                <w:tcPr>
                  <w:tcW w:w="2336"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pacing w:val="-3"/>
                      <w:sz w:val="21"/>
                      <w:szCs w:val="21"/>
                      <w:highlight w:val="none"/>
                    </w:rPr>
                    <w:t>监测频次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79" w:type="dxa"/>
                  <w:vMerge w:val="restart"/>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运营期</w:t>
                  </w:r>
                </w:p>
              </w:tc>
              <w:tc>
                <w:tcPr>
                  <w:tcW w:w="905"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生态环境</w:t>
                  </w:r>
                </w:p>
              </w:tc>
              <w:tc>
                <w:tcPr>
                  <w:tcW w:w="1325"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临时占地和恢复区</w:t>
                  </w:r>
                </w:p>
              </w:tc>
              <w:tc>
                <w:tcPr>
                  <w:tcW w:w="3191"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植被恢复状况（恢复到与周边植被覆盖度相似），恢复植被的生长状况（生长良好或恢复到原有功能），进行绿化维护，必要时进行补植</w:t>
                  </w:r>
                </w:p>
              </w:tc>
              <w:tc>
                <w:tcPr>
                  <w:tcW w:w="2336"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rPr>
                    <w:t>每年调查1次，连续5年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79" w:type="dxa"/>
                  <w:vMerge w:val="continue"/>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5"/>
                      <w:sz w:val="21"/>
                      <w:szCs w:val="21"/>
                      <w:highlight w:val="none"/>
                    </w:rPr>
                  </w:pPr>
                </w:p>
              </w:tc>
              <w:tc>
                <w:tcPr>
                  <w:tcW w:w="905"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pacing w:val="-5"/>
                      <w:sz w:val="21"/>
                      <w:szCs w:val="21"/>
                      <w:highlight w:val="none"/>
                    </w:rPr>
                    <w:t>噪声</w:t>
                  </w:r>
                </w:p>
              </w:tc>
              <w:tc>
                <w:tcPr>
                  <w:tcW w:w="1325"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pacing w:val="-3"/>
                      <w:sz w:val="21"/>
                      <w:szCs w:val="21"/>
                      <w:highlight w:val="none"/>
                      <w:lang w:val="en-US" w:eastAsia="zh-CN"/>
                    </w:rPr>
                    <w:t>厂界四周</w:t>
                  </w:r>
                </w:p>
              </w:tc>
              <w:tc>
                <w:tcPr>
                  <w:tcW w:w="3191"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等效声级</w:t>
                  </w:r>
                </w:p>
              </w:tc>
              <w:tc>
                <w:tcPr>
                  <w:tcW w:w="2336"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每季度一次，昼夜各一次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79" w:type="dxa"/>
                  <w:vMerge w:val="continue"/>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5"/>
                      <w:sz w:val="21"/>
                      <w:szCs w:val="21"/>
                      <w:highlight w:val="none"/>
                    </w:rPr>
                  </w:pPr>
                </w:p>
              </w:tc>
              <w:tc>
                <w:tcPr>
                  <w:tcW w:w="905"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pacing w:val="-5"/>
                      <w:sz w:val="21"/>
                      <w:szCs w:val="21"/>
                      <w:highlight w:val="none"/>
                      <w:lang w:val="en-US" w:eastAsia="zh-CN"/>
                    </w:rPr>
                  </w:pPr>
                  <w:r>
                    <w:rPr>
                      <w:rFonts w:hint="eastAsia" w:ascii="Times New Roman" w:hAnsi="Times New Roman" w:cs="Times New Roman"/>
                      <w:b/>
                      <w:bCs/>
                      <w:color w:val="auto"/>
                      <w:spacing w:val="-5"/>
                      <w:sz w:val="21"/>
                      <w:szCs w:val="21"/>
                      <w:highlight w:val="none"/>
                      <w:lang w:val="en-US" w:eastAsia="zh-CN"/>
                    </w:rPr>
                    <w:t>大气</w:t>
                  </w:r>
                </w:p>
              </w:tc>
              <w:tc>
                <w:tcPr>
                  <w:tcW w:w="1325" w:type="dxa"/>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eastAsia="zh-CN"/>
                    </w:rPr>
                    <w:t>厂界</w:t>
                  </w:r>
                </w:p>
              </w:tc>
              <w:tc>
                <w:tcPr>
                  <w:tcW w:w="3191" w:type="dxa"/>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eastAsia" w:cs="Times New Roman"/>
                      <w:b w:val="0"/>
                      <w:bCs/>
                      <w:color w:val="auto"/>
                      <w:sz w:val="21"/>
                      <w:szCs w:val="21"/>
                      <w:lang w:val="en-US" w:eastAsia="zh-CN"/>
                    </w:rPr>
                    <w:t>颗粒物</w:t>
                  </w:r>
                </w:p>
              </w:tc>
              <w:tc>
                <w:tcPr>
                  <w:tcW w:w="2336" w:type="dxa"/>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1次/年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79" w:type="dxa"/>
                  <w:vMerge w:val="restart"/>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pacing w:val="-5"/>
                      <w:sz w:val="21"/>
                      <w:szCs w:val="21"/>
                      <w:highlight w:val="none"/>
                      <w:lang w:val="en-US" w:eastAsia="zh-CN"/>
                    </w:rPr>
                  </w:pPr>
                  <w:r>
                    <w:rPr>
                      <w:rFonts w:hint="default" w:ascii="Times New Roman" w:hAnsi="Times New Roman" w:cs="Times New Roman"/>
                      <w:b/>
                      <w:bCs/>
                      <w:color w:val="auto"/>
                      <w:spacing w:val="-5"/>
                      <w:sz w:val="21"/>
                      <w:szCs w:val="21"/>
                      <w:highlight w:val="none"/>
                      <w:lang w:val="en-US" w:eastAsia="zh-CN"/>
                    </w:rPr>
                    <w:t>施工期</w:t>
                  </w:r>
                </w:p>
              </w:tc>
              <w:tc>
                <w:tcPr>
                  <w:tcW w:w="905" w:type="dxa"/>
                  <w:tcBorders>
                    <w:tl2br w:val="nil"/>
                    <w:tr2bl w:val="nil"/>
                  </w:tcBorders>
                  <w:shd w:val="clear" w:color="auto" w:fill="auto"/>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pacing w:val="-3"/>
                      <w:sz w:val="21"/>
                      <w:szCs w:val="21"/>
                      <w:highlight w:val="none"/>
                      <w:lang w:val="en-US" w:eastAsia="en-US"/>
                    </w:rPr>
                  </w:pPr>
                  <w:r>
                    <w:rPr>
                      <w:rFonts w:hint="default" w:ascii="Times New Roman" w:hAnsi="Times New Roman" w:eastAsia="宋体" w:cs="Times New Roman"/>
                      <w:b/>
                      <w:bCs/>
                      <w:color w:val="auto"/>
                      <w:spacing w:val="-3"/>
                      <w:sz w:val="21"/>
                      <w:szCs w:val="21"/>
                      <w:highlight w:val="none"/>
                      <w:lang w:val="en-US" w:eastAsia="zh-CN"/>
                    </w:rPr>
                    <w:t>声环境</w:t>
                  </w:r>
                </w:p>
              </w:tc>
              <w:tc>
                <w:tcPr>
                  <w:tcW w:w="1325" w:type="dxa"/>
                  <w:vMerge w:val="restart"/>
                  <w:tcBorders>
                    <w:tl2br w:val="nil"/>
                    <w:tr2bl w:val="nil"/>
                  </w:tcBorders>
                  <w:shd w:val="clear" w:color="auto" w:fill="auto"/>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施工营地</w:t>
                  </w:r>
                </w:p>
              </w:tc>
              <w:tc>
                <w:tcPr>
                  <w:tcW w:w="3191" w:type="dxa"/>
                  <w:tcBorders>
                    <w:tl2br w:val="nil"/>
                    <w:tr2bl w:val="nil"/>
                  </w:tcBorders>
                  <w:shd w:val="clear" w:color="auto" w:fill="auto"/>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rPr>
                    <w:t>施工噪声，等效连续A声级</w:t>
                  </w:r>
                </w:p>
              </w:tc>
              <w:tc>
                <w:tcPr>
                  <w:tcW w:w="2336" w:type="dxa"/>
                  <w:tcBorders>
                    <w:tl2br w:val="nil"/>
                    <w:tr2bl w:val="nil"/>
                  </w:tcBorders>
                  <w:shd w:val="clear" w:color="auto" w:fill="auto"/>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7"/>
                      <w:sz w:val="21"/>
                      <w:szCs w:val="21"/>
                      <w:highlight w:val="none"/>
                      <w:lang w:val="en-US" w:eastAsia="zh-CN"/>
                    </w:rPr>
                  </w:pPr>
                  <w:r>
                    <w:rPr>
                      <w:rFonts w:hint="default" w:ascii="Times New Roman" w:hAnsi="Times New Roman" w:eastAsia="宋体" w:cs="Times New Roman"/>
                      <w:color w:val="auto"/>
                      <w:spacing w:val="7"/>
                      <w:sz w:val="21"/>
                      <w:szCs w:val="21"/>
                      <w:highlight w:val="none"/>
                    </w:rPr>
                    <w:t>施工期监测1期，每期监测2天，每天取样1次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79" w:type="dxa"/>
                  <w:vMerge w:val="continue"/>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pacing w:val="-5"/>
                      <w:sz w:val="21"/>
                      <w:szCs w:val="21"/>
                      <w:highlight w:val="none"/>
                      <w:lang w:val="en-US" w:eastAsia="zh-CN"/>
                    </w:rPr>
                  </w:pPr>
                </w:p>
              </w:tc>
              <w:tc>
                <w:tcPr>
                  <w:tcW w:w="905" w:type="dxa"/>
                  <w:shd w:val="clear" w:color="auto" w:fill="auto"/>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pacing w:val="-3"/>
                      <w:sz w:val="21"/>
                      <w:szCs w:val="21"/>
                      <w:highlight w:val="none"/>
                      <w:lang w:val="en-US" w:eastAsia="en-US"/>
                    </w:rPr>
                  </w:pPr>
                  <w:r>
                    <w:rPr>
                      <w:rFonts w:hint="default" w:ascii="Times New Roman" w:hAnsi="Times New Roman" w:eastAsia="宋体" w:cs="Times New Roman"/>
                      <w:b/>
                      <w:bCs/>
                      <w:color w:val="auto"/>
                      <w:spacing w:val="-3"/>
                      <w:sz w:val="21"/>
                      <w:szCs w:val="21"/>
                      <w:highlight w:val="none"/>
                      <w:lang w:val="en-US" w:eastAsia="zh-CN"/>
                    </w:rPr>
                    <w:t>大气环境</w:t>
                  </w:r>
                </w:p>
              </w:tc>
              <w:tc>
                <w:tcPr>
                  <w:tcW w:w="1325" w:type="dxa"/>
                  <w:vMerge w:val="continue"/>
                  <w:shd w:val="clear" w:color="auto" w:fill="auto"/>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3"/>
                      <w:sz w:val="21"/>
                      <w:szCs w:val="21"/>
                      <w:highlight w:val="none"/>
                      <w:lang w:val="en-US" w:eastAsia="zh-CN"/>
                    </w:rPr>
                  </w:pPr>
                </w:p>
              </w:tc>
              <w:tc>
                <w:tcPr>
                  <w:tcW w:w="3191" w:type="dxa"/>
                  <w:shd w:val="clear" w:color="auto" w:fill="auto"/>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rPr>
                    <w:t>颗粒物</w:t>
                  </w:r>
                </w:p>
              </w:tc>
              <w:tc>
                <w:tcPr>
                  <w:tcW w:w="2336" w:type="dxa"/>
                  <w:shd w:val="clear" w:color="auto" w:fill="auto"/>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7"/>
                      <w:sz w:val="21"/>
                      <w:szCs w:val="21"/>
                      <w:highlight w:val="none"/>
                      <w:lang w:val="en-US" w:eastAsia="zh-CN"/>
                    </w:rPr>
                  </w:pPr>
                  <w:r>
                    <w:rPr>
                      <w:rFonts w:hint="default" w:ascii="Times New Roman" w:hAnsi="Times New Roman" w:eastAsia="宋体" w:cs="Times New Roman"/>
                      <w:color w:val="auto"/>
                      <w:spacing w:val="7"/>
                      <w:sz w:val="21"/>
                      <w:szCs w:val="21"/>
                      <w:highlight w:val="none"/>
                    </w:rPr>
                    <w:t>施工期监测1期，每期监测 2天，每天取样1次</w:t>
                  </w:r>
                </w:p>
              </w:tc>
            </w:tr>
          </w:tbl>
          <w:p>
            <w:pPr>
              <w:pStyle w:val="90"/>
              <w:keepNext w:val="0"/>
              <w:keepLines w:val="0"/>
              <w:pageBreakBefore w:val="0"/>
              <w:widowControl w:val="0"/>
              <w:kinsoku/>
              <w:wordWrap/>
              <w:overflowPunct/>
              <w:topLinePunct w:val="0"/>
              <w:autoSpaceDE/>
              <w:autoSpaceDN/>
              <w:bidi w:val="0"/>
              <w:adjustRightInd/>
              <w:snapToGrid/>
              <w:spacing w:line="360" w:lineRule="auto"/>
              <w:ind w:left="0" w:right="0" w:firstLine="320" w:firstLineChars="200"/>
              <w:textAlignment w:val="auto"/>
              <w:rPr>
                <w:rFonts w:hint="default" w:ascii="Times New Roman" w:hAnsi="Times New Roman" w:eastAsia="仿宋_GB2312"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661" w:hRule="atLeast"/>
          <w:jc w:val="center"/>
        </w:trPr>
        <w:tc>
          <w:tcPr>
            <w:tcW w:w="511" w:type="dxa"/>
            <w:tcBorders>
              <w:tl2br w:val="nil"/>
              <w:tr2bl w:val="nil"/>
            </w:tcBorders>
            <w:tcMar>
              <w:left w:w="28" w:type="dxa"/>
              <w:right w:w="28" w:type="dxa"/>
            </w:tcMar>
            <w:vAlign w:val="center"/>
          </w:tcPr>
          <w:p>
            <w:pPr>
              <w:adjustRightInd w:val="0"/>
              <w:snapToGrid w:val="0"/>
              <w:jc w:val="center"/>
              <w:rPr>
                <w:rFonts w:hint="default" w:ascii="Times New Roman" w:hAnsi="Times New Roman" w:eastAsia="仿宋_GB2312" w:cs="Times New Roman"/>
                <w:b/>
                <w:bCs/>
                <w:color w:val="auto"/>
                <w:sz w:val="24"/>
                <w:highlight w:val="none"/>
                <w:lang w:eastAsia="zh-CN"/>
              </w:rPr>
            </w:pPr>
          </w:p>
          <w:p>
            <w:pPr>
              <w:pStyle w:val="13"/>
              <w:jc w:val="center"/>
              <w:rPr>
                <w:rFonts w:hint="default" w:ascii="Times New Roman" w:hAnsi="Times New Roman" w:eastAsia="仿宋_GB2312" w:cs="Times New Roman"/>
                <w:b/>
                <w:bCs/>
                <w:color w:val="auto"/>
                <w:sz w:val="24"/>
                <w:highlight w:val="none"/>
                <w:lang w:eastAsia="zh-CN"/>
              </w:rPr>
            </w:pPr>
          </w:p>
          <w:p>
            <w:pPr>
              <w:jc w:val="center"/>
              <w:rPr>
                <w:rFonts w:hint="default" w:ascii="Times New Roman" w:hAnsi="Times New Roman" w:eastAsia="仿宋_GB2312" w:cs="Times New Roman"/>
                <w:b/>
                <w:bCs/>
                <w:color w:val="auto"/>
                <w:sz w:val="24"/>
                <w:highlight w:val="none"/>
                <w:lang w:eastAsia="zh-CN"/>
              </w:rPr>
            </w:pPr>
          </w:p>
          <w:p>
            <w:pPr>
              <w:pStyle w:val="13"/>
              <w:jc w:val="center"/>
              <w:rPr>
                <w:rFonts w:hint="default" w:ascii="Times New Roman" w:hAnsi="Times New Roman" w:eastAsia="仿宋_GB2312" w:cs="Times New Roman"/>
                <w:b/>
                <w:bCs/>
                <w:color w:val="auto"/>
                <w:sz w:val="24"/>
                <w:highlight w:val="none"/>
                <w:lang w:eastAsia="zh-CN"/>
              </w:rPr>
            </w:pPr>
          </w:p>
          <w:p>
            <w:pPr>
              <w:jc w:val="center"/>
              <w:rPr>
                <w:rFonts w:hint="default" w:ascii="Times New Roman" w:hAnsi="Times New Roman" w:eastAsia="仿宋_GB2312" w:cs="Times New Roman"/>
                <w:b/>
                <w:bCs/>
                <w:color w:val="auto"/>
                <w:sz w:val="24"/>
                <w:highlight w:val="none"/>
                <w:lang w:eastAsia="zh-CN"/>
              </w:rPr>
            </w:pPr>
          </w:p>
          <w:p>
            <w:pPr>
              <w:pStyle w:val="13"/>
              <w:jc w:val="center"/>
              <w:rPr>
                <w:rFonts w:hint="default" w:ascii="Times New Roman" w:hAnsi="Times New Roman" w:eastAsia="仿宋_GB2312" w:cs="Times New Roman"/>
                <w:b/>
                <w:bCs/>
                <w:color w:val="auto"/>
                <w:sz w:val="24"/>
                <w:highlight w:val="none"/>
                <w:lang w:eastAsia="zh-CN"/>
              </w:rPr>
            </w:pPr>
          </w:p>
          <w:p>
            <w:pPr>
              <w:jc w:val="center"/>
              <w:rPr>
                <w:rFonts w:hint="default"/>
                <w:color w:val="auto"/>
                <w:highlight w:val="none"/>
                <w:lang w:eastAsia="zh-CN"/>
              </w:rPr>
            </w:pPr>
          </w:p>
          <w:p>
            <w:pPr>
              <w:adjustRightInd w:val="0"/>
              <w:snapToGrid w:val="0"/>
              <w:jc w:val="center"/>
              <w:rPr>
                <w:rFonts w:hint="default" w:ascii="Times New Roman" w:hAnsi="Times New Roman" w:eastAsia="仿宋_GB2312" w:cs="Times New Roman"/>
                <w:b/>
                <w:bCs/>
                <w:color w:val="auto"/>
                <w:sz w:val="24"/>
                <w:highlight w:val="none"/>
                <w:lang w:eastAsia="zh-CN"/>
              </w:rPr>
            </w:pPr>
            <w:r>
              <w:rPr>
                <w:rFonts w:hint="default" w:ascii="Times New Roman" w:hAnsi="Times New Roman" w:eastAsia="仿宋_GB2312" w:cs="Times New Roman"/>
                <w:b/>
                <w:bCs/>
                <w:color w:val="auto"/>
                <w:sz w:val="24"/>
                <w:highlight w:val="none"/>
                <w:lang w:eastAsia="zh-CN"/>
              </w:rPr>
              <w:t>环保投资</w:t>
            </w:r>
          </w:p>
          <w:p>
            <w:pPr>
              <w:adjustRightInd w:val="0"/>
              <w:snapToGrid w:val="0"/>
              <w:jc w:val="center"/>
              <w:rPr>
                <w:rFonts w:hint="default" w:ascii="Times New Roman" w:hAnsi="Times New Roman" w:eastAsia="仿宋_GB2312" w:cs="Times New Roman"/>
                <w:b/>
                <w:bCs/>
                <w:color w:val="auto"/>
                <w:sz w:val="24"/>
                <w:highlight w:val="none"/>
                <w:lang w:eastAsia="zh-CN"/>
              </w:rPr>
            </w:pPr>
          </w:p>
          <w:p>
            <w:pPr>
              <w:pStyle w:val="42"/>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pStyle w:val="42"/>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pStyle w:val="42"/>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pStyle w:val="42"/>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pStyle w:val="42"/>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b/>
                <w:bCs/>
                <w:color w:val="auto"/>
                <w:sz w:val="24"/>
                <w:highlight w:val="none"/>
                <w:lang w:eastAsia="zh-CN"/>
              </w:rPr>
            </w:pPr>
          </w:p>
          <w:p>
            <w:pPr>
              <w:pStyle w:val="42"/>
              <w:rPr>
                <w:rFonts w:hint="default" w:ascii="Times New Roman" w:hAnsi="Times New Roman" w:eastAsia="仿宋_GB2312" w:cs="Times New Roman"/>
                <w:b/>
                <w:bCs/>
                <w:color w:val="auto"/>
                <w:sz w:val="24"/>
                <w:highlight w:val="none"/>
                <w:lang w:eastAsia="zh-CN"/>
              </w:rPr>
            </w:pPr>
          </w:p>
          <w:p>
            <w:pPr>
              <w:rPr>
                <w:rFonts w:hint="default"/>
                <w:color w:val="auto"/>
                <w:highlight w:val="none"/>
                <w:lang w:eastAsia="zh-CN"/>
              </w:rPr>
            </w:pPr>
          </w:p>
          <w:p>
            <w:pPr>
              <w:pStyle w:val="9"/>
              <w:jc w:val="center"/>
              <w:rPr>
                <w:rFonts w:hint="default" w:ascii="Times New Roman" w:hAnsi="Times New Roman" w:eastAsia="仿宋_GB2312" w:cs="Times New Roman"/>
                <w:b/>
                <w:bCs/>
                <w:color w:val="auto"/>
                <w:sz w:val="24"/>
                <w:highlight w:val="none"/>
                <w:lang w:eastAsia="zh-CN"/>
              </w:rPr>
            </w:pPr>
          </w:p>
          <w:p>
            <w:pPr>
              <w:jc w:val="center"/>
              <w:rPr>
                <w:rFonts w:hint="default" w:ascii="Times New Roman" w:hAnsi="Times New Roman" w:eastAsia="仿宋_GB2312" w:cs="Times New Roman"/>
                <w:b/>
                <w:bCs/>
                <w:color w:val="auto"/>
                <w:sz w:val="24"/>
                <w:highlight w:val="none"/>
                <w:lang w:eastAsia="zh-CN"/>
              </w:rPr>
            </w:pPr>
          </w:p>
          <w:p>
            <w:pPr>
              <w:pStyle w:val="9"/>
              <w:jc w:val="center"/>
              <w:rPr>
                <w:rFonts w:hint="default" w:ascii="Times New Roman" w:hAnsi="Times New Roman" w:eastAsia="仿宋_GB2312" w:cs="Times New Roman"/>
                <w:b/>
                <w:bCs/>
                <w:color w:val="auto"/>
                <w:sz w:val="24"/>
                <w:highlight w:val="none"/>
                <w:lang w:eastAsia="zh-CN"/>
              </w:rPr>
            </w:pPr>
          </w:p>
          <w:p>
            <w:pPr>
              <w:jc w:val="center"/>
              <w:rPr>
                <w:rFonts w:hint="default" w:ascii="Times New Roman" w:hAnsi="Times New Roman" w:eastAsia="仿宋_GB2312" w:cs="Times New Roman"/>
                <w:b/>
                <w:bCs/>
                <w:color w:val="auto"/>
                <w:sz w:val="24"/>
                <w:highlight w:val="none"/>
                <w:lang w:eastAsia="zh-CN"/>
              </w:rPr>
            </w:pPr>
          </w:p>
          <w:p>
            <w:pPr>
              <w:pStyle w:val="9"/>
              <w:jc w:val="center"/>
              <w:rPr>
                <w:rFonts w:hint="default" w:ascii="Times New Roman" w:hAnsi="Times New Roman" w:eastAsia="仿宋_GB2312" w:cs="Times New Roman"/>
                <w:b/>
                <w:bCs/>
                <w:color w:val="auto"/>
                <w:sz w:val="24"/>
                <w:highlight w:val="none"/>
                <w:lang w:eastAsia="zh-CN"/>
              </w:rPr>
            </w:pPr>
          </w:p>
          <w:p>
            <w:pPr>
              <w:jc w:val="center"/>
              <w:rPr>
                <w:rFonts w:hint="default" w:ascii="Times New Roman" w:hAnsi="Times New Roman" w:eastAsia="仿宋_GB2312" w:cs="Times New Roman"/>
                <w:b/>
                <w:bCs/>
                <w:color w:val="auto"/>
                <w:sz w:val="24"/>
                <w:highlight w:val="none"/>
                <w:lang w:eastAsia="zh-CN"/>
              </w:rPr>
            </w:pPr>
          </w:p>
          <w:p>
            <w:pPr>
              <w:pStyle w:val="2"/>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pStyle w:val="4"/>
              <w:rPr>
                <w:rFonts w:hint="default" w:ascii="Times New Roman" w:hAnsi="Times New Roman" w:eastAsia="仿宋_GB2312" w:cs="Times New Roman"/>
                <w:b/>
                <w:bCs/>
                <w:color w:val="auto"/>
                <w:sz w:val="24"/>
                <w:highlight w:val="none"/>
                <w:lang w:eastAsia="zh-CN"/>
              </w:rPr>
            </w:pPr>
          </w:p>
          <w:p>
            <w:pPr>
              <w:rPr>
                <w:rFonts w:hint="default" w:ascii="Times New Roman" w:hAnsi="Times New Roman" w:eastAsia="仿宋_GB2312" w:cs="Times New Roman"/>
                <w:color w:val="auto"/>
                <w:highlight w:val="none"/>
                <w:lang w:eastAsia="zh-CN"/>
              </w:rPr>
            </w:pPr>
          </w:p>
        </w:tc>
        <w:tc>
          <w:tcPr>
            <w:tcW w:w="8690"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b/>
                <w:bCs w:val="0"/>
                <w:color w:val="auto"/>
                <w:kern w:val="44"/>
                <w:sz w:val="24"/>
                <w:szCs w:val="24"/>
                <w:highlight w:val="none"/>
                <w:lang w:val="en-US" w:eastAsia="zh-CN" w:bidi="ar-SA"/>
              </w:rPr>
            </w:pPr>
            <w:r>
              <w:rPr>
                <w:rFonts w:hint="default" w:ascii="Times New Roman" w:hAnsi="Times New Roman" w:eastAsia="仿宋_GB2312" w:cs="Times New Roman"/>
                <w:color w:val="auto"/>
                <w:sz w:val="24"/>
                <w:szCs w:val="24"/>
                <w:highlight w:val="none"/>
                <w:lang w:val="en-US" w:eastAsia="zh-CN"/>
              </w:rPr>
              <w:t>本工程总投资4968.6万元，其中环保投资</w:t>
            </w:r>
            <w:r>
              <w:rPr>
                <w:rFonts w:hint="eastAsia" w:eastAsia="仿宋_GB2312" w:cs="Times New Roman"/>
                <w:color w:val="auto"/>
                <w:sz w:val="24"/>
                <w:szCs w:val="24"/>
                <w:highlight w:val="none"/>
                <w:lang w:val="en-US" w:eastAsia="zh-CN"/>
              </w:rPr>
              <w:t>249.35</w:t>
            </w:r>
            <w:r>
              <w:rPr>
                <w:rFonts w:hint="default" w:ascii="Times New Roman" w:hAnsi="Times New Roman" w:eastAsia="仿宋_GB2312" w:cs="Times New Roman"/>
                <w:color w:val="auto"/>
                <w:sz w:val="24"/>
                <w:szCs w:val="24"/>
                <w:highlight w:val="none"/>
                <w:lang w:val="en-US" w:eastAsia="zh-CN"/>
              </w:rPr>
              <w:t>万元，占总投资的</w:t>
            </w:r>
            <w:r>
              <w:rPr>
                <w:rFonts w:hint="eastAsia" w:eastAsia="仿宋_GB2312" w:cs="Times New Roman"/>
                <w:color w:val="auto"/>
                <w:sz w:val="24"/>
                <w:szCs w:val="24"/>
                <w:highlight w:val="none"/>
                <w:lang w:val="en-US" w:eastAsia="zh-CN"/>
              </w:rPr>
              <w:t>5.02</w:t>
            </w:r>
            <w:r>
              <w:rPr>
                <w:rFonts w:hint="default" w:ascii="Times New Roman" w:hAnsi="Times New Roman" w:eastAsia="仿宋_GB2312" w:cs="Times New Roman"/>
                <w:color w:val="auto"/>
                <w:sz w:val="24"/>
                <w:szCs w:val="24"/>
                <w:highlight w:val="none"/>
                <w:lang w:val="en-US" w:eastAsia="zh-CN"/>
              </w:rPr>
              <w:t>%，环保投资具体见下表。</w:t>
            </w:r>
          </w:p>
          <w:p>
            <w:pPr>
              <w:pStyle w:val="72"/>
              <w:keepNext w:val="0"/>
              <w:keepLines w:val="0"/>
              <w:pageBreakBefore w:val="0"/>
              <w:widowControl w:val="0"/>
              <w:kinsoku/>
              <w:wordWrap/>
              <w:overflowPunct/>
              <w:topLinePunct w:val="0"/>
              <w:autoSpaceDE/>
              <w:autoSpaceDN/>
              <w:bidi w:val="0"/>
              <w:spacing w:line="240" w:lineRule="auto"/>
              <w:ind w:firstLine="420" w:firstLineChars="200"/>
              <w:jc w:val="both"/>
              <w:textAlignment w:val="auto"/>
              <w:rPr>
                <w:rFonts w:hint="default" w:ascii="Times New Roman" w:hAnsi="Times New Roman" w:eastAsia="宋体" w:cs="Times New Roman"/>
                <w:b/>
                <w:bCs w:val="0"/>
                <w:color w:val="auto"/>
                <w:kern w:val="44"/>
                <w:sz w:val="24"/>
                <w:szCs w:val="24"/>
                <w:highlight w:val="none"/>
                <w:lang w:val="en-US" w:eastAsia="zh-CN" w:bidi="ar-SA"/>
              </w:rPr>
            </w:pPr>
            <w:r>
              <w:rPr>
                <w:rFonts w:hint="default" w:ascii="Times New Roman" w:hAnsi="Times New Roman" w:eastAsia="宋体" w:cs="Times New Roman"/>
                <w:b w:val="0"/>
                <w:bCs/>
                <w:color w:val="auto"/>
                <w:kern w:val="44"/>
                <w:sz w:val="21"/>
                <w:szCs w:val="21"/>
                <w:highlight w:val="none"/>
                <w:lang w:val="en-US" w:eastAsia="zh-CN" w:bidi="ar-SA"/>
              </w:rPr>
              <w:t>表</w:t>
            </w:r>
            <w:r>
              <w:rPr>
                <w:rFonts w:hint="eastAsia" w:cs="Times New Roman"/>
                <w:b w:val="0"/>
                <w:bCs/>
                <w:color w:val="auto"/>
                <w:kern w:val="44"/>
                <w:sz w:val="21"/>
                <w:szCs w:val="21"/>
                <w:highlight w:val="none"/>
                <w:lang w:val="en-US" w:eastAsia="zh-CN" w:bidi="ar-SA"/>
              </w:rPr>
              <w:t>43</w:t>
            </w:r>
            <w:r>
              <w:rPr>
                <w:rFonts w:hint="default" w:ascii="Times New Roman" w:hAnsi="Times New Roman" w:eastAsia="宋体" w:cs="Times New Roman"/>
                <w:b w:val="0"/>
                <w:bCs/>
                <w:color w:val="auto"/>
                <w:kern w:val="44"/>
                <w:sz w:val="21"/>
                <w:szCs w:val="21"/>
                <w:highlight w:val="none"/>
                <w:lang w:val="en-US" w:eastAsia="zh-CN" w:bidi="ar-SA"/>
              </w:rPr>
              <w:t xml:space="preserve">   </w:t>
            </w:r>
            <w:r>
              <w:rPr>
                <w:rFonts w:hint="eastAsia" w:ascii="Times New Roman" w:hAnsi="Times New Roman" w:eastAsia="宋体" w:cs="Times New Roman"/>
                <w:b w:val="0"/>
                <w:bCs/>
                <w:color w:val="auto"/>
                <w:kern w:val="44"/>
                <w:sz w:val="21"/>
                <w:szCs w:val="21"/>
                <w:highlight w:val="none"/>
                <w:lang w:val="en-US" w:eastAsia="zh-CN" w:bidi="ar-SA"/>
              </w:rPr>
              <w:t xml:space="preserve">             </w:t>
            </w:r>
            <w:r>
              <w:rPr>
                <w:rFonts w:hint="default" w:ascii="Times New Roman" w:hAnsi="Times New Roman" w:eastAsia="宋体" w:cs="Times New Roman"/>
                <w:b/>
                <w:bCs w:val="0"/>
                <w:color w:val="auto"/>
                <w:kern w:val="44"/>
                <w:sz w:val="24"/>
                <w:szCs w:val="24"/>
                <w:highlight w:val="none"/>
                <w:lang w:val="en-US" w:eastAsia="zh-CN" w:bidi="ar-SA"/>
              </w:rPr>
              <w:t>环保投资一览表   单位：万元</w:t>
            </w:r>
          </w:p>
          <w:tbl>
            <w:tblPr>
              <w:tblStyle w:val="7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47"/>
              <w:gridCol w:w="1070"/>
              <w:gridCol w:w="5336"/>
              <w:gridCol w:w="119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4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阶段</w:t>
                  </w:r>
                </w:p>
              </w:tc>
              <w:tc>
                <w:tcPr>
                  <w:tcW w:w="1070"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2"/>
                      <w:sz w:val="21"/>
                      <w:szCs w:val="21"/>
                      <w:highlight w:val="none"/>
                    </w:rPr>
                    <w:t>项目</w:t>
                  </w:r>
                </w:p>
              </w:tc>
              <w:tc>
                <w:tcPr>
                  <w:tcW w:w="5336"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2"/>
                      <w:sz w:val="21"/>
                      <w:szCs w:val="21"/>
                      <w:highlight w:val="none"/>
                    </w:rPr>
                    <w:t>环保设施</w:t>
                  </w:r>
                </w:p>
              </w:tc>
              <w:tc>
                <w:tcPr>
                  <w:tcW w:w="1191"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4"/>
                      <w:sz w:val="21"/>
                      <w:szCs w:val="21"/>
                      <w:highlight w:val="none"/>
                    </w:rPr>
                    <w:t>投资金额</w:t>
                  </w:r>
                  <w:r>
                    <w:rPr>
                      <w:rFonts w:hint="default" w:ascii="Times New Roman" w:hAnsi="Times New Roman" w:eastAsia="宋体" w:cs="Times New Roman"/>
                      <w:b/>
                      <w:bCs/>
                      <w:color w:val="auto"/>
                      <w:spacing w:val="-6"/>
                      <w:sz w:val="21"/>
                      <w:szCs w:val="21"/>
                      <w:highlight w:val="none"/>
                    </w:rPr>
                    <w:t>（万元）</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47" w:type="dxa"/>
                  <w:vMerge w:val="restart"/>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sz w:val="21"/>
                      <w:szCs w:val="21"/>
                      <w:highlight w:val="none"/>
                    </w:rPr>
                    <w:t>施工期</w:t>
                  </w:r>
                </w:p>
              </w:tc>
              <w:tc>
                <w:tcPr>
                  <w:tcW w:w="1070"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废气治理措施</w:t>
                  </w:r>
                </w:p>
              </w:tc>
              <w:tc>
                <w:tcPr>
                  <w:tcW w:w="5336"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36" w:firstLineChars="200"/>
                    <w:jc w:val="both"/>
                    <w:textAlignment w:val="baseline"/>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施工场地设置施工围挡、土方开挖采用湿法作业、定期洒水降尘、运输车辆加盖篷布</w:t>
                  </w:r>
                </w:p>
              </w:tc>
              <w:tc>
                <w:tcPr>
                  <w:tcW w:w="11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1"/>
                      <w:sz w:val="21"/>
                      <w:szCs w:val="21"/>
                      <w:highlight w:val="none"/>
                      <w:lang w:val="en-US" w:eastAsia="zh-CN"/>
                    </w:rP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47" w:type="dxa"/>
                  <w:vMerge w:val="continue"/>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070"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废水治理措施</w:t>
                  </w:r>
                </w:p>
              </w:tc>
              <w:tc>
                <w:tcPr>
                  <w:tcW w:w="5336"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36" w:firstLineChars="200"/>
                    <w:jc w:val="both"/>
                    <w:textAlignment w:val="baseline"/>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施工废水（主要为车辆、设备冲洗水）经沉淀后回用不外排；</w:t>
                  </w:r>
                  <w:r>
                    <w:rPr>
                      <w:rFonts w:hint="eastAsia" w:ascii="Times New Roman" w:hAnsi="Times New Roman" w:eastAsia="宋体" w:cs="Times New Roman"/>
                      <w:color w:val="auto"/>
                      <w:spacing w:val="4"/>
                      <w:sz w:val="21"/>
                      <w:szCs w:val="21"/>
                      <w:highlight w:val="none"/>
                      <w:lang w:val="en-US" w:eastAsia="zh-CN"/>
                    </w:rPr>
                    <w:t>生活污水利用周边居民旱厕，定期清掏，用于周边农田施肥。</w:t>
                  </w:r>
                  <w:r>
                    <w:rPr>
                      <w:rFonts w:hint="default" w:ascii="Times New Roman" w:hAnsi="Times New Roman" w:eastAsia="宋体" w:cs="Times New Roman"/>
                      <w:color w:val="auto"/>
                      <w:spacing w:val="4"/>
                      <w:sz w:val="21"/>
                      <w:szCs w:val="21"/>
                      <w:highlight w:val="none"/>
                    </w:rPr>
                    <w:t>少量盥洗废水用于泼洒抑尘。</w:t>
                  </w:r>
                  <w:r>
                    <w:rPr>
                      <w:rFonts w:hint="default" w:ascii="Times New Roman" w:hAnsi="Times New Roman" w:eastAsia="宋体" w:cs="Times New Roman"/>
                      <w:color w:val="auto"/>
                      <w:spacing w:val="4"/>
                      <w:sz w:val="21"/>
                      <w:szCs w:val="21"/>
                      <w:highlight w:val="none"/>
                      <w:lang w:val="en-US" w:eastAsia="zh-CN"/>
                    </w:rPr>
                    <w:t>本工程施工采用商品混凝土，少量现浇混凝土养护产生少量废水。经沉淀池沉淀后回用于混凝土养护用水，确保无废水排放。</w:t>
                  </w:r>
                </w:p>
              </w:tc>
              <w:tc>
                <w:tcPr>
                  <w:tcW w:w="11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r>
                    <w:rPr>
                      <w:rFonts w:hint="eastAsia" w:cs="Times New Roman"/>
                      <w:color w:val="auto"/>
                      <w:spacing w:val="-1"/>
                      <w:sz w:val="21"/>
                      <w:szCs w:val="21"/>
                      <w:highlight w:val="none"/>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47"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070"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噪声污染防治措施</w:t>
                  </w:r>
                </w:p>
              </w:tc>
              <w:tc>
                <w:tcPr>
                  <w:tcW w:w="5336"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
                      <w:sz w:val="21"/>
                      <w:szCs w:val="21"/>
                      <w:highlight w:val="none"/>
                    </w:rPr>
                    <w:t>对机械、设备加强定期检修、养护；禁止夜间施工，</w:t>
                  </w:r>
                  <w:r>
                    <w:rPr>
                      <w:rFonts w:hint="default" w:ascii="Times New Roman" w:hAnsi="Times New Roman" w:eastAsia="宋体" w:cs="Times New Roman"/>
                      <w:color w:val="auto"/>
                      <w:spacing w:val="1"/>
                      <w:sz w:val="21"/>
                      <w:szCs w:val="21"/>
                      <w:highlight w:val="none"/>
                    </w:rPr>
                    <w:t>避免高噪设备同时施工</w:t>
                  </w:r>
                </w:p>
              </w:tc>
              <w:tc>
                <w:tcPr>
                  <w:tcW w:w="11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1"/>
                      <w:sz w:val="21"/>
                      <w:szCs w:val="21"/>
                      <w:highlight w:val="none"/>
                      <w:lang w:val="en-US" w:eastAsia="zh-CN"/>
                    </w:rPr>
                    <w:t>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47"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070"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固体废物污染</w:t>
                  </w:r>
                  <w:r>
                    <w:rPr>
                      <w:rFonts w:hint="default" w:ascii="Times New Roman" w:hAnsi="Times New Roman" w:eastAsia="宋体" w:cs="Times New Roman"/>
                      <w:color w:val="auto"/>
                      <w:spacing w:val="-1"/>
                      <w:sz w:val="21"/>
                      <w:szCs w:val="21"/>
                      <w:highlight w:val="none"/>
                    </w:rPr>
                    <w:t>防治措施</w:t>
                  </w:r>
                </w:p>
              </w:tc>
              <w:tc>
                <w:tcPr>
                  <w:tcW w:w="5336"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36" w:firstLineChars="200"/>
                    <w:jc w:val="both"/>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废包装材料集中收集后送至指定地点进行处理；施工人员生</w:t>
                  </w:r>
                  <w:r>
                    <w:rPr>
                      <w:rFonts w:hint="default" w:ascii="Times New Roman" w:hAnsi="Times New Roman" w:eastAsia="宋体" w:cs="Times New Roman"/>
                      <w:color w:val="auto"/>
                      <w:spacing w:val="14"/>
                      <w:sz w:val="21"/>
                      <w:szCs w:val="21"/>
                      <w:highlight w:val="none"/>
                    </w:rPr>
                    <w:t>活垃圾集中收集后清运至附近生活垃圾转运站中</w:t>
                  </w:r>
                  <w:r>
                    <w:rPr>
                      <w:rFonts w:hint="default" w:ascii="Times New Roman" w:hAnsi="Times New Roman" w:eastAsia="宋体" w:cs="Times New Roman"/>
                      <w:color w:val="auto"/>
                      <w:spacing w:val="1"/>
                      <w:sz w:val="21"/>
                      <w:szCs w:val="21"/>
                      <w:highlight w:val="none"/>
                    </w:rPr>
                    <w:t>处置</w:t>
                  </w:r>
                </w:p>
              </w:tc>
              <w:tc>
                <w:tcPr>
                  <w:tcW w:w="11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r>
                    <w:rPr>
                      <w:rFonts w:hint="eastAsia" w:cs="Times New Roman"/>
                      <w:color w:val="auto"/>
                      <w:spacing w:val="-2"/>
                      <w:sz w:val="21"/>
                      <w:szCs w:val="21"/>
                      <w:highlight w:val="none"/>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47"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070"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环境监测</w:t>
                  </w:r>
                </w:p>
              </w:tc>
              <w:tc>
                <w:tcPr>
                  <w:tcW w:w="5336"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40" w:firstLineChars="200"/>
                    <w:jc w:val="both"/>
                    <w:textAlignment w:val="baseline"/>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pacing w:val="5"/>
                      <w:sz w:val="21"/>
                      <w:szCs w:val="21"/>
                      <w:highlight w:val="none"/>
                      <w:lang w:val="en-US" w:eastAsia="zh-CN"/>
                    </w:rPr>
                    <w:t>噪声监测</w:t>
                  </w:r>
                </w:p>
              </w:tc>
              <w:tc>
                <w:tcPr>
                  <w:tcW w:w="1191"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rPr>
                  </w:pPr>
                  <w:r>
                    <w:rPr>
                      <w:rFonts w:hint="eastAsia" w:cs="Times New Roman"/>
                      <w:color w:val="auto"/>
                      <w:spacing w:val="1"/>
                      <w:sz w:val="21"/>
                      <w:szCs w:val="21"/>
                      <w:highlight w:val="none"/>
                      <w:lang w:val="en-US" w:eastAsia="zh-CN"/>
                    </w:rPr>
                    <w:t>130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47"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070"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sz w:val="21"/>
                      <w:szCs w:val="21"/>
                      <w:highlight w:val="none"/>
                    </w:rPr>
                    <w:t>生态恢复</w:t>
                  </w:r>
                </w:p>
              </w:tc>
              <w:tc>
                <w:tcPr>
                  <w:tcW w:w="5336"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56" w:firstLineChars="200"/>
                    <w:jc w:val="both"/>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9"/>
                      <w:sz w:val="21"/>
                      <w:szCs w:val="21"/>
                      <w:highlight w:val="none"/>
                      <w:lang w:val="en-US" w:eastAsia="zh-CN"/>
                    </w:rPr>
                    <w:t>施工期严格控制施工作业范围，控制施工机械、车辆沿固定线路行驶，做好施工人员宣传教育，严禁越过红线进入保护区，严禁随意采伐、猎捕野生动物。项目建设内容为土地整治、</w:t>
                  </w:r>
                  <w:r>
                    <w:rPr>
                      <w:rFonts w:hint="eastAsia" w:cs="Times New Roman"/>
                      <w:color w:val="auto"/>
                      <w:spacing w:val="9"/>
                      <w:sz w:val="21"/>
                      <w:szCs w:val="21"/>
                      <w:highlight w:val="none"/>
                      <w:lang w:val="en-US" w:eastAsia="zh-CN"/>
                    </w:rPr>
                    <w:t>柴胡、黄芪</w:t>
                  </w:r>
                  <w:r>
                    <w:rPr>
                      <w:rFonts w:hint="default" w:ascii="Times New Roman" w:hAnsi="Times New Roman" w:eastAsia="宋体" w:cs="Times New Roman"/>
                      <w:color w:val="auto"/>
                      <w:spacing w:val="9"/>
                      <w:sz w:val="21"/>
                      <w:szCs w:val="21"/>
                      <w:highlight w:val="none"/>
                      <w:lang w:val="en-US" w:eastAsia="zh-CN"/>
                    </w:rPr>
                    <w:t>种植及防风林建设，施工过程为场地平整，种植林草，恢复生境，项目不得引入其他有入侵性的植物种类。</w:t>
                  </w:r>
                </w:p>
              </w:tc>
              <w:tc>
                <w:tcPr>
                  <w:tcW w:w="119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47" w:type="dxa"/>
                  <w:vMerge w:val="continue"/>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highlight w:val="none"/>
                    </w:rPr>
                  </w:pPr>
                </w:p>
              </w:tc>
              <w:tc>
                <w:tcPr>
                  <w:tcW w:w="1070"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废水</w:t>
                  </w:r>
                </w:p>
              </w:tc>
              <w:tc>
                <w:tcPr>
                  <w:tcW w:w="53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56" w:firstLineChars="200"/>
                    <w:jc w:val="both"/>
                    <w:textAlignment w:val="auto"/>
                    <w:rPr>
                      <w:rFonts w:hint="eastAsia" w:cs="Times New Roman"/>
                      <w:color w:val="auto"/>
                      <w:spacing w:val="9"/>
                      <w:sz w:val="21"/>
                      <w:szCs w:val="21"/>
                      <w:highlight w:val="none"/>
                      <w:lang w:eastAsia="zh-CN"/>
                    </w:rPr>
                  </w:pPr>
                  <w:r>
                    <w:rPr>
                      <w:rFonts w:hint="eastAsia" w:cs="Times New Roman"/>
                      <w:color w:val="auto"/>
                      <w:spacing w:val="9"/>
                      <w:sz w:val="21"/>
                      <w:szCs w:val="21"/>
                      <w:highlight w:val="none"/>
                      <w:lang w:val="en-US" w:eastAsia="zh-CN"/>
                    </w:rPr>
                    <w:t>运营期废水主要为职工生活污水，</w:t>
                  </w:r>
                  <w:r>
                    <w:rPr>
                      <w:rFonts w:hint="eastAsia" w:cs="Times New Roman"/>
                      <w:snapToGrid w:val="0"/>
                      <w:color w:val="auto"/>
                      <w:kern w:val="0"/>
                      <w:sz w:val="21"/>
                      <w:szCs w:val="21"/>
                      <w:highlight w:val="none"/>
                      <w:vertAlign w:val="baseline"/>
                      <w:lang w:val="en-US" w:eastAsia="zh-CN"/>
                    </w:rPr>
                    <w:t>利用周边居民旱厕，</w:t>
                  </w:r>
                  <w:r>
                    <w:rPr>
                      <w:rFonts w:hint="eastAsia" w:cs="Times New Roman"/>
                      <w:color w:val="auto"/>
                      <w:szCs w:val="21"/>
                      <w:highlight w:val="none"/>
                      <w:lang w:val="en-US" w:eastAsia="zh-CN"/>
                    </w:rPr>
                    <w:t>定期清掏，用于周边农田施肥。</w:t>
                  </w:r>
                  <w:r>
                    <w:rPr>
                      <w:rFonts w:hint="default" w:ascii="Times New Roman" w:hAnsi="Times New Roman" w:eastAsia="宋体" w:cs="Times New Roman"/>
                      <w:color w:val="auto"/>
                      <w:spacing w:val="9"/>
                      <w:sz w:val="21"/>
                      <w:szCs w:val="21"/>
                      <w:highlight w:val="none"/>
                    </w:rPr>
                    <w:t>少量盥洗废水用于泼洒抑尘</w:t>
                  </w:r>
                  <w:r>
                    <w:rPr>
                      <w:rFonts w:hint="eastAsia" w:cs="Times New Roman"/>
                      <w:color w:val="auto"/>
                      <w:spacing w:val="9"/>
                      <w:sz w:val="21"/>
                      <w:szCs w:val="21"/>
                      <w:highlight w:val="none"/>
                      <w:lang w:eastAsia="zh-CN"/>
                    </w:rPr>
                    <w:t>。</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456" w:firstLineChars="200"/>
                    <w:jc w:val="both"/>
                    <w:textAlignment w:val="auto"/>
                    <w:rPr>
                      <w:rFonts w:hint="default" w:ascii="Times New Roman" w:hAnsi="Times New Roman" w:eastAsia="宋体" w:cs="Times New Roman"/>
                      <w:color w:val="auto"/>
                      <w:sz w:val="21"/>
                      <w:szCs w:val="21"/>
                      <w:highlight w:val="none"/>
                    </w:rPr>
                  </w:pPr>
                  <w:r>
                    <w:rPr>
                      <w:rFonts w:hint="eastAsia" w:cs="Times New Roman"/>
                      <w:color w:val="auto"/>
                      <w:spacing w:val="9"/>
                      <w:sz w:val="21"/>
                      <w:szCs w:val="21"/>
                      <w:highlight w:val="none"/>
                      <w:lang w:val="en-US" w:eastAsia="zh-CN"/>
                    </w:rPr>
                    <w:t>空气能热泵排水用于堆料棚洒水抑尘。</w:t>
                  </w:r>
                </w:p>
              </w:tc>
              <w:tc>
                <w:tcPr>
                  <w:tcW w:w="11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47" w:type="dxa"/>
                  <w:vMerge w:val="continue"/>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highlight w:val="none"/>
                    </w:rPr>
                  </w:pPr>
                </w:p>
              </w:tc>
              <w:tc>
                <w:tcPr>
                  <w:tcW w:w="1070" w:type="dxa"/>
                  <w:tcBorders>
                    <w:tl2br w:val="nil"/>
                    <w:tr2bl w:val="nil"/>
                  </w:tcBorders>
                  <w:shd w:val="clear" w:color="auto" w:fill="auto"/>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5"/>
                      <w:sz w:val="21"/>
                      <w:szCs w:val="21"/>
                      <w:highlight w:val="none"/>
                    </w:rPr>
                    <w:t>噪声</w:t>
                  </w:r>
                </w:p>
              </w:tc>
              <w:tc>
                <w:tcPr>
                  <w:tcW w:w="5336" w:type="dxa"/>
                  <w:tcBorders>
                    <w:tl2br w:val="nil"/>
                    <w:tr2bl w:val="nil"/>
                  </w:tcBorders>
                  <w:shd w:val="clear" w:color="auto" w:fill="auto"/>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432" w:firstLineChars="200"/>
                    <w:jc w:val="both"/>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3"/>
                      <w:sz w:val="21"/>
                      <w:szCs w:val="21"/>
                      <w:highlight w:val="none"/>
                    </w:rPr>
                    <w:t>采取基础减震、墙体阻隔等措施</w:t>
                  </w:r>
                </w:p>
              </w:tc>
              <w:tc>
                <w:tcPr>
                  <w:tcW w:w="1191" w:type="dxa"/>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6.35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47" w:type="dxa"/>
                  <w:vMerge w:val="continue"/>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highlight w:val="none"/>
                    </w:rPr>
                  </w:pPr>
                </w:p>
              </w:tc>
              <w:tc>
                <w:tcPr>
                  <w:tcW w:w="1070"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5"/>
                      <w:sz w:val="21"/>
                      <w:szCs w:val="21"/>
                      <w:highlight w:val="none"/>
                      <w:lang w:val="en-US" w:eastAsia="zh-CN"/>
                    </w:rPr>
                  </w:pPr>
                  <w:r>
                    <w:rPr>
                      <w:rFonts w:hint="eastAsia" w:ascii="Times New Roman" w:hAnsi="Times New Roman" w:cs="Times New Roman"/>
                      <w:color w:val="auto"/>
                      <w:spacing w:val="-5"/>
                      <w:sz w:val="21"/>
                      <w:szCs w:val="21"/>
                      <w:highlight w:val="none"/>
                      <w:lang w:val="en-US" w:eastAsia="zh-CN"/>
                    </w:rPr>
                    <w:t>固体废物</w:t>
                  </w:r>
                </w:p>
              </w:tc>
              <w:tc>
                <w:tcPr>
                  <w:tcW w:w="5336"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56" w:firstLineChars="200"/>
                    <w:jc w:val="both"/>
                    <w:textAlignment w:val="baseline"/>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9"/>
                      <w:sz w:val="21"/>
                      <w:szCs w:val="21"/>
                      <w:highlight w:val="none"/>
                      <w:lang w:val="en-US" w:eastAsia="zh-CN"/>
                    </w:rPr>
                    <w:t>一般固废主要为生活垃圾</w:t>
                  </w:r>
                  <w:r>
                    <w:rPr>
                      <w:rFonts w:hint="eastAsia" w:cs="Times New Roman"/>
                      <w:color w:val="auto"/>
                      <w:spacing w:val="9"/>
                      <w:sz w:val="21"/>
                      <w:szCs w:val="21"/>
                      <w:highlight w:val="none"/>
                      <w:lang w:val="en-US" w:eastAsia="zh-CN"/>
                    </w:rPr>
                    <w:t>、废包装材料</w:t>
                  </w:r>
                  <w:r>
                    <w:rPr>
                      <w:rFonts w:hint="default" w:ascii="Times New Roman" w:hAnsi="Times New Roman" w:eastAsia="宋体" w:cs="Times New Roman"/>
                      <w:color w:val="auto"/>
                      <w:spacing w:val="9"/>
                      <w:sz w:val="21"/>
                      <w:szCs w:val="21"/>
                      <w:highlight w:val="none"/>
                      <w:lang w:val="en-US" w:eastAsia="zh-CN"/>
                    </w:rPr>
                    <w:t>；</w:t>
                  </w:r>
                  <w:r>
                    <w:rPr>
                      <w:rFonts w:hint="eastAsia" w:cs="Times New Roman"/>
                      <w:color w:val="auto"/>
                      <w:spacing w:val="9"/>
                      <w:sz w:val="21"/>
                      <w:szCs w:val="21"/>
                      <w:highlight w:val="none"/>
                      <w:lang w:val="en-US" w:eastAsia="zh-CN"/>
                    </w:rPr>
                    <w:t>生活垃圾集中收集后交由环卫部门进行处置；废包装材料集中收集后外售处置。废弃菌棒集中收集后外售综合利用。</w:t>
                  </w:r>
                </w:p>
              </w:tc>
              <w:tc>
                <w:tcPr>
                  <w:tcW w:w="11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2"/>
                      <w:sz w:val="21"/>
                      <w:szCs w:val="21"/>
                      <w:highlight w:val="none"/>
                      <w:lang w:val="en-US" w:eastAsia="zh-CN"/>
                    </w:rPr>
                  </w:pPr>
                  <w:r>
                    <w:rPr>
                      <w:rFonts w:hint="eastAsia" w:cs="Times New Roman"/>
                      <w:color w:val="auto"/>
                      <w:spacing w:val="2"/>
                      <w:sz w:val="21"/>
                      <w:szCs w:val="21"/>
                      <w:highlight w:val="none"/>
                      <w:lang w:val="en-US" w:eastAsia="zh-CN"/>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47" w:type="dxa"/>
                  <w:vMerge w:val="continue"/>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highlight w:val="none"/>
                    </w:rPr>
                  </w:pPr>
                </w:p>
              </w:tc>
              <w:tc>
                <w:tcPr>
                  <w:tcW w:w="1070" w:type="dxa"/>
                  <w:tcBorders>
                    <w:tl2br w:val="nil"/>
                    <w:tr2bl w:val="nil"/>
                  </w:tcBorders>
                  <w:shd w:val="clear" w:color="auto" w:fill="auto"/>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环境监测</w:t>
                  </w:r>
                </w:p>
              </w:tc>
              <w:tc>
                <w:tcPr>
                  <w:tcW w:w="5336" w:type="dxa"/>
                  <w:tcBorders>
                    <w:tl2br w:val="nil"/>
                    <w:tr2bl w:val="nil"/>
                  </w:tcBorders>
                  <w:shd w:val="clear" w:color="auto" w:fill="auto"/>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440" w:firstLineChars="200"/>
                    <w:jc w:val="both"/>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pacing w:val="5"/>
                      <w:sz w:val="21"/>
                      <w:szCs w:val="21"/>
                      <w:highlight w:val="none"/>
                      <w:lang w:val="en-US" w:eastAsia="zh-CN"/>
                    </w:rPr>
                    <w:t>大气、噪声监测</w:t>
                  </w:r>
                </w:p>
              </w:tc>
              <w:tc>
                <w:tcPr>
                  <w:tcW w:w="11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cs="Times New Roman"/>
                      <w:color w:val="auto"/>
                      <w:spacing w:val="2"/>
                      <w:sz w:val="21"/>
                      <w:szCs w:val="21"/>
                      <w:highlight w:val="none"/>
                      <w:lang w:val="en-US" w:eastAsia="zh-CN"/>
                    </w:rPr>
                  </w:pPr>
                  <w:r>
                    <w:rPr>
                      <w:rFonts w:hint="eastAsia" w:cs="Times New Roman"/>
                      <w:color w:val="auto"/>
                      <w:spacing w:val="2"/>
                      <w:sz w:val="21"/>
                      <w:szCs w:val="21"/>
                      <w:highlight w:val="none"/>
                      <w:lang w:val="en-US" w:eastAsia="zh-CN"/>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253" w:type="dxa"/>
                  <w:gridSpan w:val="3"/>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合计</w:t>
                  </w:r>
                </w:p>
              </w:tc>
              <w:tc>
                <w:tcPr>
                  <w:tcW w:w="11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2"/>
                      <w:sz w:val="21"/>
                      <w:szCs w:val="21"/>
                      <w:highlight w:val="none"/>
                      <w:lang w:val="en-US" w:eastAsia="zh-CN"/>
                    </w:rPr>
                    <w:t>249.35</w:t>
                  </w:r>
                </w:p>
              </w:tc>
            </w:tr>
          </w:tbl>
          <w:p>
            <w:pPr>
              <w:adjustRightInd w:val="0"/>
              <w:spacing w:line="360" w:lineRule="auto"/>
              <w:rPr>
                <w:rFonts w:hint="default" w:ascii="Times New Roman" w:hAnsi="Times New Roman" w:eastAsia="仿宋_GB2312" w:cs="Times New Roman"/>
                <w:bCs/>
                <w:color w:val="auto"/>
                <w:spacing w:val="-10"/>
                <w:sz w:val="24"/>
                <w:highlight w:val="none"/>
              </w:rPr>
            </w:pPr>
          </w:p>
        </w:tc>
      </w:tr>
    </w:tbl>
    <w:p>
      <w:pPr>
        <w:adjustRightInd w:val="0"/>
        <w:snapToGrid w:val="0"/>
        <w:spacing w:line="360" w:lineRule="auto"/>
        <w:rPr>
          <w:rFonts w:ascii="宋体" w:cs="宋体"/>
          <w:b/>
          <w:color w:val="auto"/>
          <w:kern w:val="0"/>
          <w:sz w:val="28"/>
          <w:szCs w:val="28"/>
          <w:highlight w:val="none"/>
        </w:rPr>
        <w:sectPr>
          <w:pgSz w:w="11907" w:h="16840"/>
          <w:pgMar w:top="1701" w:right="1417" w:bottom="1701"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六、生态环境保护措施监督检查清单</w:t>
      </w:r>
    </w:p>
    <w:tbl>
      <w:tblPr>
        <w:tblStyle w:val="77"/>
        <w:tblW w:w="920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227"/>
        <w:gridCol w:w="3458"/>
        <w:gridCol w:w="1772"/>
        <w:gridCol w:w="1477"/>
        <w:gridCol w:w="126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0" w:hRule="atLeast"/>
          <w:jc w:val="center"/>
        </w:trPr>
        <w:tc>
          <w:tcPr>
            <w:tcW w:w="1227" w:type="dxa"/>
            <w:vMerge w:val="restart"/>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8"/>
                <w:sz w:val="21"/>
                <w:szCs w:val="21"/>
                <w:highlight w:val="none"/>
              </w:rPr>
              <w:t>内容要素</w:t>
            </w:r>
          </w:p>
        </w:tc>
        <w:tc>
          <w:tcPr>
            <w:tcW w:w="5230" w:type="dxa"/>
            <w:gridSpan w:val="2"/>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施工期</w:t>
            </w:r>
          </w:p>
        </w:tc>
        <w:tc>
          <w:tcPr>
            <w:tcW w:w="2744" w:type="dxa"/>
            <w:gridSpan w:val="2"/>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运营期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05" w:hRule="atLeast"/>
          <w:jc w:val="center"/>
        </w:trPr>
        <w:tc>
          <w:tcPr>
            <w:tcW w:w="1227"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highlight w:val="none"/>
              </w:rPr>
            </w:pPr>
          </w:p>
        </w:tc>
        <w:tc>
          <w:tcPr>
            <w:tcW w:w="3458"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1"/>
                <w:sz w:val="21"/>
                <w:szCs w:val="21"/>
                <w:highlight w:val="none"/>
              </w:rPr>
              <w:t>环境保护措施</w:t>
            </w:r>
          </w:p>
        </w:tc>
        <w:tc>
          <w:tcPr>
            <w:tcW w:w="1772"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2"/>
                <w:sz w:val="21"/>
                <w:szCs w:val="21"/>
                <w:highlight w:val="none"/>
              </w:rPr>
              <w:t>验收要求</w:t>
            </w:r>
          </w:p>
        </w:tc>
        <w:tc>
          <w:tcPr>
            <w:tcW w:w="147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1"/>
                <w:sz w:val="21"/>
                <w:szCs w:val="21"/>
                <w:highlight w:val="none"/>
              </w:rPr>
              <w:t>环境保护措施</w:t>
            </w:r>
          </w:p>
        </w:tc>
        <w:tc>
          <w:tcPr>
            <w:tcW w:w="126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2"/>
                <w:sz w:val="21"/>
                <w:szCs w:val="21"/>
                <w:highlight w:val="none"/>
              </w:rPr>
              <w:t>验收要求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03" w:hRule="atLeast"/>
          <w:jc w:val="center"/>
        </w:trPr>
        <w:tc>
          <w:tcPr>
            <w:tcW w:w="122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陆生生态</w:t>
            </w:r>
          </w:p>
        </w:tc>
        <w:tc>
          <w:tcPr>
            <w:tcW w:w="3458"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限制施工设备、堆料场等临时占地面积；施工后回填土坑，恢复植被；采用机械碾压对填埋区域松土进行整实，并进行迹地恢复；施工结束进行临时占地迹地恢复；防止破坏区域自然植被。</w:t>
            </w:r>
          </w:p>
        </w:tc>
        <w:tc>
          <w:tcPr>
            <w:tcW w:w="1772"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保护生态环境质量不改变，恢复植被</w:t>
            </w:r>
          </w:p>
        </w:tc>
        <w:tc>
          <w:tcPr>
            <w:tcW w:w="147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加强周边绿化及</w:t>
            </w:r>
            <w:r>
              <w:rPr>
                <w:rFonts w:hint="default" w:ascii="Times New Roman" w:hAnsi="Times New Roman" w:eastAsia="宋体" w:cs="Times New Roman"/>
                <w:color w:val="auto"/>
                <w:spacing w:val="3"/>
                <w:sz w:val="21"/>
                <w:szCs w:val="21"/>
                <w:highlight w:val="none"/>
              </w:rPr>
              <w:t>维护管理</w:t>
            </w:r>
          </w:p>
        </w:tc>
        <w:tc>
          <w:tcPr>
            <w:tcW w:w="126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
                <w:sz w:val="21"/>
                <w:szCs w:val="21"/>
                <w:highlight w:val="none"/>
              </w:rPr>
              <w:t>恢复占地类</w:t>
            </w:r>
            <w:r>
              <w:rPr>
                <w:rFonts w:hint="default" w:ascii="Times New Roman" w:hAnsi="Times New Roman" w:eastAsia="宋体" w:cs="Times New Roman"/>
                <w:color w:val="auto"/>
                <w:sz w:val="21"/>
                <w:szCs w:val="21"/>
                <w:highlight w:val="none"/>
              </w:rPr>
              <w:t>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05" w:hRule="atLeast"/>
          <w:jc w:val="center"/>
        </w:trPr>
        <w:tc>
          <w:tcPr>
            <w:tcW w:w="122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sz w:val="21"/>
                <w:szCs w:val="21"/>
                <w:highlight w:val="none"/>
              </w:rPr>
              <w:t>水生生态</w:t>
            </w:r>
          </w:p>
        </w:tc>
        <w:tc>
          <w:tcPr>
            <w:tcW w:w="3458"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w:t>
            </w:r>
          </w:p>
        </w:tc>
        <w:tc>
          <w:tcPr>
            <w:tcW w:w="1772"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w:t>
            </w:r>
          </w:p>
        </w:tc>
        <w:tc>
          <w:tcPr>
            <w:tcW w:w="14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c>
          <w:tcPr>
            <w:tcW w:w="126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33" w:hRule="atLeast"/>
          <w:jc w:val="center"/>
        </w:trPr>
        <w:tc>
          <w:tcPr>
            <w:tcW w:w="122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
                <w:sz w:val="21"/>
                <w:szCs w:val="21"/>
                <w:highlight w:val="none"/>
              </w:rPr>
              <w:t>地表水环境</w:t>
            </w:r>
          </w:p>
        </w:tc>
        <w:tc>
          <w:tcPr>
            <w:tcW w:w="3458"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施工废水经沉淀处理后用于施工场地和道路洒水降尘；管道试压废水经沉淀后回用不外排；</w:t>
            </w:r>
            <w:r>
              <w:rPr>
                <w:rFonts w:hint="eastAsia" w:ascii="Times New Roman" w:hAnsi="Times New Roman" w:eastAsia="宋体" w:cs="Times New Roman"/>
                <w:color w:val="auto"/>
                <w:spacing w:val="5"/>
                <w:sz w:val="21"/>
                <w:szCs w:val="21"/>
                <w:highlight w:val="none"/>
                <w:lang w:val="en-US" w:eastAsia="zh-CN"/>
              </w:rPr>
              <w:t>生活污水利用周边居民旱厕，定期清掏，用于周边农田施肥。</w:t>
            </w:r>
            <w:r>
              <w:rPr>
                <w:rFonts w:hint="default" w:ascii="Times New Roman" w:hAnsi="Times New Roman" w:eastAsia="宋体" w:cs="Times New Roman"/>
                <w:color w:val="auto"/>
                <w:spacing w:val="5"/>
                <w:sz w:val="21"/>
                <w:szCs w:val="21"/>
                <w:highlight w:val="none"/>
              </w:rPr>
              <w:t>少量盥洗废水用于泼洒抑尘。</w:t>
            </w:r>
            <w:r>
              <w:rPr>
                <w:rFonts w:hint="default" w:ascii="Times New Roman" w:hAnsi="Times New Roman" w:eastAsia="宋体" w:cs="Times New Roman"/>
                <w:color w:val="auto"/>
                <w:spacing w:val="5"/>
                <w:sz w:val="21"/>
                <w:szCs w:val="21"/>
                <w:highlight w:val="none"/>
                <w:lang w:val="en-US" w:eastAsia="zh-CN"/>
              </w:rPr>
              <w:t>本工程施工采用商品混凝土，少量现浇混凝土养护产生少量废水。经沉淀池沉淀后回用于混凝土养护用水，确保无废水排放。</w:t>
            </w:r>
          </w:p>
        </w:tc>
        <w:tc>
          <w:tcPr>
            <w:tcW w:w="1772"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不得外排</w:t>
            </w:r>
          </w:p>
        </w:tc>
        <w:tc>
          <w:tcPr>
            <w:tcW w:w="14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c>
          <w:tcPr>
            <w:tcW w:w="126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59" w:hRule="atLeast"/>
          <w:jc w:val="center"/>
        </w:trPr>
        <w:tc>
          <w:tcPr>
            <w:tcW w:w="122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
                <w:sz w:val="21"/>
                <w:szCs w:val="21"/>
                <w:highlight w:val="none"/>
              </w:rPr>
              <w:t>地下水及土</w:t>
            </w:r>
            <w:r>
              <w:rPr>
                <w:rFonts w:hint="default" w:ascii="Times New Roman" w:hAnsi="Times New Roman" w:eastAsia="宋体" w:cs="Times New Roman"/>
                <w:color w:val="auto"/>
                <w:sz w:val="21"/>
                <w:szCs w:val="21"/>
                <w:highlight w:val="none"/>
              </w:rPr>
              <w:t>壤环境</w:t>
            </w:r>
          </w:p>
        </w:tc>
        <w:tc>
          <w:tcPr>
            <w:tcW w:w="3458"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w:t>
            </w:r>
          </w:p>
        </w:tc>
        <w:tc>
          <w:tcPr>
            <w:tcW w:w="1772"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w:t>
            </w:r>
          </w:p>
        </w:tc>
        <w:tc>
          <w:tcPr>
            <w:tcW w:w="14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c>
          <w:tcPr>
            <w:tcW w:w="126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154" w:hRule="atLeast"/>
          <w:jc w:val="center"/>
        </w:trPr>
        <w:tc>
          <w:tcPr>
            <w:tcW w:w="122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
                <w:sz w:val="21"/>
                <w:szCs w:val="21"/>
                <w:highlight w:val="none"/>
              </w:rPr>
              <w:t>声环境</w:t>
            </w:r>
          </w:p>
        </w:tc>
        <w:tc>
          <w:tcPr>
            <w:tcW w:w="3458"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采用低噪声设备；对机械、设备加强定期检修、养护；禁止夜间施工，避免高噪设备同时施工</w:t>
            </w:r>
          </w:p>
        </w:tc>
        <w:tc>
          <w:tcPr>
            <w:tcW w:w="1772"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《建筑施工噪声排放标准》(GB12523-20</w:t>
            </w:r>
            <w:r>
              <w:rPr>
                <w:rFonts w:hint="eastAsia" w:ascii="Times New Roman" w:hAnsi="Times New Roman" w:cs="Times New Roman"/>
                <w:color w:val="auto"/>
                <w:spacing w:val="5"/>
                <w:sz w:val="21"/>
                <w:szCs w:val="21"/>
                <w:highlight w:val="none"/>
                <w:lang w:val="en-US" w:eastAsia="zh-CN"/>
              </w:rPr>
              <w:t>25</w:t>
            </w:r>
            <w:r>
              <w:rPr>
                <w:rFonts w:hint="default" w:ascii="Times New Roman" w:hAnsi="Times New Roman" w:eastAsia="宋体" w:cs="Times New Roman"/>
                <w:color w:val="auto"/>
                <w:spacing w:val="5"/>
                <w:sz w:val="21"/>
                <w:szCs w:val="21"/>
                <w:highlight w:val="none"/>
              </w:rPr>
              <w:t>)表1中限值</w:t>
            </w:r>
          </w:p>
        </w:tc>
        <w:tc>
          <w:tcPr>
            <w:tcW w:w="147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采取基础减震、</w:t>
            </w:r>
            <w:r>
              <w:rPr>
                <w:rFonts w:hint="default" w:ascii="Times New Roman" w:hAnsi="Times New Roman" w:eastAsia="宋体" w:cs="Times New Roman"/>
                <w:color w:val="auto"/>
                <w:spacing w:val="3"/>
                <w:sz w:val="21"/>
                <w:szCs w:val="21"/>
                <w:highlight w:val="none"/>
              </w:rPr>
              <w:t>墙体阻隔等措施</w:t>
            </w:r>
          </w:p>
        </w:tc>
        <w:tc>
          <w:tcPr>
            <w:tcW w:w="126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w:t>
            </w:r>
            <w:r>
              <w:rPr>
                <w:rFonts w:hint="default" w:ascii="Times New Roman" w:hAnsi="Times New Roman" w:eastAsia="宋体" w:cs="Times New Roman"/>
                <w:color w:val="auto"/>
                <w:spacing w:val="1"/>
                <w:sz w:val="21"/>
                <w:szCs w:val="21"/>
                <w:highlight w:val="none"/>
              </w:rPr>
              <w:t>厂界环境噪</w:t>
            </w:r>
            <w:r>
              <w:rPr>
                <w:rFonts w:hint="default" w:ascii="Times New Roman" w:hAnsi="Times New Roman" w:eastAsia="宋体" w:cs="Times New Roman"/>
                <w:color w:val="auto"/>
                <w:sz w:val="21"/>
                <w:szCs w:val="21"/>
                <w:highlight w:val="none"/>
              </w:rPr>
              <w:t>声排放标</w:t>
            </w:r>
            <w:r>
              <w:rPr>
                <w:rFonts w:hint="default" w:ascii="Times New Roman" w:hAnsi="Times New Roman" w:eastAsia="宋体" w:cs="Times New Roman"/>
                <w:color w:val="auto"/>
                <w:spacing w:val="-1"/>
                <w:sz w:val="21"/>
                <w:szCs w:val="21"/>
                <w:highlight w:val="none"/>
              </w:rPr>
              <w:t>准》</w:t>
            </w:r>
            <w:r>
              <w:rPr>
                <w:rFonts w:hint="default" w:ascii="Times New Roman" w:hAnsi="Times New Roman" w:eastAsia="宋体" w:cs="Times New Roman"/>
                <w:color w:val="auto"/>
                <w:spacing w:val="3"/>
                <w:sz w:val="21"/>
                <w:szCs w:val="21"/>
                <w:highlight w:val="none"/>
              </w:rPr>
              <w:t>(</w:t>
            </w:r>
            <w:r>
              <w:rPr>
                <w:rFonts w:hint="default" w:ascii="Times New Roman" w:hAnsi="Times New Roman" w:eastAsia="宋体" w:cs="Times New Roman"/>
                <w:color w:val="auto"/>
                <w:sz w:val="21"/>
                <w:szCs w:val="21"/>
                <w:highlight w:val="none"/>
              </w:rPr>
              <w:t>GB</w:t>
            </w:r>
            <w:r>
              <w:rPr>
                <w:rFonts w:hint="default" w:ascii="Times New Roman" w:hAnsi="Times New Roman" w:eastAsia="宋体" w:cs="Times New Roman"/>
                <w:color w:val="auto"/>
                <w:spacing w:val="3"/>
                <w:sz w:val="21"/>
                <w:szCs w:val="21"/>
                <w:highlight w:val="none"/>
              </w:rPr>
              <w:t>12348</w:t>
            </w:r>
            <w:r>
              <w:rPr>
                <w:rFonts w:hint="default" w:ascii="Times New Roman" w:hAnsi="Times New Roman" w:eastAsia="宋体" w:cs="Times New Roman"/>
                <w:color w:val="auto"/>
                <w:spacing w:val="1"/>
                <w:sz w:val="21"/>
                <w:szCs w:val="21"/>
                <w:highlight w:val="none"/>
              </w:rPr>
              <w:t>-2008)中1类</w:t>
            </w:r>
            <w:r>
              <w:rPr>
                <w:rFonts w:hint="default" w:ascii="Times New Roman" w:hAnsi="Times New Roman" w:eastAsia="宋体" w:cs="Times New Roman"/>
                <w:color w:val="auto"/>
                <w:sz w:val="21"/>
                <w:szCs w:val="21"/>
                <w:highlight w:val="none"/>
              </w:rPr>
              <w:t>标准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30" w:hRule="atLeast"/>
          <w:jc w:val="center"/>
        </w:trPr>
        <w:tc>
          <w:tcPr>
            <w:tcW w:w="122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振动</w:t>
            </w:r>
          </w:p>
        </w:tc>
        <w:tc>
          <w:tcPr>
            <w:tcW w:w="3458"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w:t>
            </w:r>
          </w:p>
        </w:tc>
        <w:tc>
          <w:tcPr>
            <w:tcW w:w="1772"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w:t>
            </w:r>
          </w:p>
        </w:tc>
        <w:tc>
          <w:tcPr>
            <w:tcW w:w="14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c>
          <w:tcPr>
            <w:tcW w:w="126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682" w:hRule="atLeast"/>
          <w:jc w:val="center"/>
        </w:trPr>
        <w:tc>
          <w:tcPr>
            <w:tcW w:w="122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sz w:val="21"/>
                <w:szCs w:val="21"/>
                <w:highlight w:val="none"/>
              </w:rPr>
              <w:t>大气环境</w:t>
            </w:r>
          </w:p>
        </w:tc>
        <w:tc>
          <w:tcPr>
            <w:tcW w:w="3458"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建筑场地设置施工围挡，建筑材料 等篷布遮盖，场地洒水抑尘</w:t>
            </w:r>
          </w:p>
        </w:tc>
        <w:tc>
          <w:tcPr>
            <w:tcW w:w="1772"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《大气污染物综合排放标准》（GB16297-1996）</w:t>
            </w:r>
          </w:p>
        </w:tc>
        <w:tc>
          <w:tcPr>
            <w:tcW w:w="14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c>
          <w:tcPr>
            <w:tcW w:w="126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12" w:hRule="atLeast"/>
          <w:jc w:val="center"/>
        </w:trPr>
        <w:tc>
          <w:tcPr>
            <w:tcW w:w="122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7"/>
                <w:sz w:val="21"/>
                <w:szCs w:val="21"/>
                <w:highlight w:val="none"/>
              </w:rPr>
              <w:t>固体废物</w:t>
            </w:r>
          </w:p>
        </w:tc>
        <w:tc>
          <w:tcPr>
            <w:tcW w:w="3458"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eastAsia" w:ascii="Times New Roman" w:hAnsi="Times New Roman" w:cs="Times New Roman"/>
                <w:color w:val="auto"/>
                <w:spacing w:val="5"/>
                <w:sz w:val="21"/>
                <w:szCs w:val="21"/>
                <w:highlight w:val="none"/>
                <w:lang w:val="en-US" w:eastAsia="zh-CN"/>
              </w:rPr>
              <w:t>废包装材料</w:t>
            </w:r>
            <w:r>
              <w:rPr>
                <w:rFonts w:hint="default" w:ascii="Times New Roman" w:hAnsi="Times New Roman" w:eastAsia="宋体" w:cs="Times New Roman"/>
                <w:color w:val="auto"/>
                <w:spacing w:val="5"/>
                <w:sz w:val="21"/>
                <w:szCs w:val="21"/>
                <w:highlight w:val="none"/>
              </w:rPr>
              <w:t>收集后送至指定地点处置；生活垃圾集中收集后，送至环卫部门指定地点处置</w:t>
            </w:r>
          </w:p>
        </w:tc>
        <w:tc>
          <w:tcPr>
            <w:tcW w:w="1772"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eastAsia" w:ascii="Times New Roman" w:hAnsi="Times New Roman" w:eastAsia="宋体" w:cs="Times New Roman"/>
                <w:color w:val="auto"/>
                <w:spacing w:val="5"/>
                <w:sz w:val="21"/>
                <w:szCs w:val="21"/>
                <w:highlight w:val="none"/>
                <w:lang w:val="en-US" w:eastAsia="zh-CN"/>
              </w:rPr>
            </w:pPr>
            <w:r>
              <w:rPr>
                <w:rFonts w:hint="eastAsia" w:ascii="Times New Roman" w:hAnsi="Times New Roman" w:eastAsia="宋体" w:cs="Times New Roman"/>
                <w:color w:val="auto"/>
                <w:spacing w:val="5"/>
                <w:sz w:val="21"/>
                <w:szCs w:val="21"/>
                <w:highlight w:val="none"/>
                <w:lang w:val="en-US" w:eastAsia="zh-CN"/>
              </w:rPr>
              <w:t>/</w:t>
            </w:r>
          </w:p>
        </w:tc>
        <w:tc>
          <w:tcPr>
            <w:tcW w:w="14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9"/>
                <w:sz w:val="21"/>
                <w:szCs w:val="21"/>
                <w:highlight w:val="none"/>
                <w:lang w:val="en-US" w:eastAsia="zh-CN"/>
              </w:rPr>
              <w:t>一般固废主要为生活垃圾</w:t>
            </w:r>
            <w:r>
              <w:rPr>
                <w:rFonts w:hint="eastAsia" w:cs="Times New Roman"/>
                <w:color w:val="auto"/>
                <w:spacing w:val="9"/>
                <w:sz w:val="21"/>
                <w:szCs w:val="21"/>
                <w:highlight w:val="none"/>
                <w:lang w:val="en-US" w:eastAsia="zh-CN"/>
              </w:rPr>
              <w:t>、废包装材料</w:t>
            </w:r>
            <w:r>
              <w:rPr>
                <w:rFonts w:hint="default" w:ascii="Times New Roman" w:hAnsi="Times New Roman" w:eastAsia="宋体" w:cs="Times New Roman"/>
                <w:color w:val="auto"/>
                <w:spacing w:val="9"/>
                <w:sz w:val="21"/>
                <w:szCs w:val="21"/>
                <w:highlight w:val="none"/>
                <w:lang w:val="en-US" w:eastAsia="zh-CN"/>
              </w:rPr>
              <w:t>；</w:t>
            </w:r>
            <w:r>
              <w:rPr>
                <w:rFonts w:hint="eastAsia" w:cs="Times New Roman"/>
                <w:color w:val="auto"/>
                <w:spacing w:val="9"/>
                <w:sz w:val="21"/>
                <w:szCs w:val="21"/>
                <w:highlight w:val="none"/>
                <w:lang w:val="en-US" w:eastAsia="zh-CN"/>
              </w:rPr>
              <w:t>生活垃圾集中收集后交由环卫部门进行处置；废包装材料集中收集后外售处置，废弃菌棒集中收集后外售综合利用。</w:t>
            </w:r>
          </w:p>
        </w:tc>
        <w:tc>
          <w:tcPr>
            <w:tcW w:w="126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55" w:hRule="atLeast"/>
          <w:jc w:val="center"/>
        </w:trPr>
        <w:tc>
          <w:tcPr>
            <w:tcW w:w="122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9"/>
                <w:sz w:val="21"/>
                <w:szCs w:val="21"/>
                <w:highlight w:val="none"/>
              </w:rPr>
              <w:t>电磁环境</w:t>
            </w:r>
          </w:p>
        </w:tc>
        <w:tc>
          <w:tcPr>
            <w:tcW w:w="3458"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w:t>
            </w:r>
          </w:p>
        </w:tc>
        <w:tc>
          <w:tcPr>
            <w:tcW w:w="1772"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w:t>
            </w:r>
          </w:p>
        </w:tc>
        <w:tc>
          <w:tcPr>
            <w:tcW w:w="14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c>
          <w:tcPr>
            <w:tcW w:w="126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80" w:hRule="atLeast"/>
          <w:jc w:val="center"/>
        </w:trPr>
        <w:tc>
          <w:tcPr>
            <w:tcW w:w="122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环境风险</w:t>
            </w:r>
          </w:p>
        </w:tc>
        <w:tc>
          <w:tcPr>
            <w:tcW w:w="3458"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w:t>
            </w:r>
          </w:p>
        </w:tc>
        <w:tc>
          <w:tcPr>
            <w:tcW w:w="1772"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w:t>
            </w:r>
          </w:p>
        </w:tc>
        <w:tc>
          <w:tcPr>
            <w:tcW w:w="14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c>
          <w:tcPr>
            <w:tcW w:w="126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38" w:hRule="atLeast"/>
          <w:jc w:val="center"/>
        </w:trPr>
        <w:tc>
          <w:tcPr>
            <w:tcW w:w="122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环境监测</w:t>
            </w:r>
          </w:p>
        </w:tc>
        <w:tc>
          <w:tcPr>
            <w:tcW w:w="3458"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eastAsia" w:ascii="Times New Roman" w:hAnsi="Times New Roman" w:eastAsia="宋体" w:cs="Times New Roman"/>
                <w:color w:val="auto"/>
                <w:spacing w:val="5"/>
                <w:sz w:val="21"/>
                <w:szCs w:val="21"/>
                <w:highlight w:val="none"/>
                <w:lang w:eastAsia="zh-CN"/>
              </w:rPr>
            </w:pPr>
            <w:r>
              <w:rPr>
                <w:rFonts w:hint="default" w:ascii="Times New Roman" w:hAnsi="Times New Roman" w:eastAsia="宋体" w:cs="Times New Roman"/>
                <w:color w:val="auto"/>
                <w:spacing w:val="5"/>
                <w:sz w:val="21"/>
                <w:szCs w:val="21"/>
                <w:highlight w:val="none"/>
              </w:rPr>
              <w:t>施工厂界1m处四周各设1点位监测噪声，施工期监测1期，每期监测2天，每天取样1次</w:t>
            </w:r>
            <w:r>
              <w:rPr>
                <w:rFonts w:hint="eastAsia" w:ascii="Times New Roman" w:hAnsi="Times New Roman" w:eastAsia="宋体" w:cs="Times New Roman"/>
                <w:color w:val="auto"/>
                <w:spacing w:val="5"/>
                <w:sz w:val="21"/>
                <w:szCs w:val="21"/>
                <w:highlight w:val="none"/>
                <w:lang w:eastAsia="zh-CN"/>
              </w:rPr>
              <w:t>。</w:t>
            </w:r>
          </w:p>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cs="Times New Roman"/>
                <w:color w:val="auto"/>
                <w:spacing w:val="5"/>
                <w:sz w:val="21"/>
                <w:szCs w:val="21"/>
                <w:highlight w:val="none"/>
                <w:lang w:val="en-US" w:eastAsia="zh-CN"/>
              </w:rPr>
            </w:pPr>
            <w:r>
              <w:rPr>
                <w:rFonts w:hint="eastAsia" w:ascii="Times New Roman" w:hAnsi="Times New Roman" w:eastAsia="宋体" w:cs="Times New Roman"/>
                <w:color w:val="auto"/>
                <w:spacing w:val="5"/>
                <w:sz w:val="21"/>
                <w:szCs w:val="21"/>
                <w:highlight w:val="none"/>
                <w:lang w:val="en-US" w:eastAsia="zh-CN"/>
              </w:rPr>
              <w:t>施工营地施工期监测1期颗粒物，每期监测 2天，每天取样1次</w:t>
            </w:r>
            <w:r>
              <w:rPr>
                <w:rFonts w:hint="eastAsia" w:ascii="Times New Roman" w:hAnsi="Times New Roman" w:cs="Times New Roman"/>
                <w:color w:val="auto"/>
                <w:spacing w:val="5"/>
                <w:sz w:val="21"/>
                <w:szCs w:val="21"/>
                <w:highlight w:val="none"/>
                <w:lang w:val="en-US" w:eastAsia="zh-CN"/>
              </w:rPr>
              <w:t>；</w:t>
            </w:r>
          </w:p>
        </w:tc>
        <w:tc>
          <w:tcPr>
            <w:tcW w:w="1772"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pacing w:val="5"/>
                <w:sz w:val="21"/>
                <w:szCs w:val="21"/>
                <w:highlight w:val="none"/>
              </w:rPr>
            </w:pPr>
            <w:r>
              <w:rPr>
                <w:rFonts w:hint="default" w:ascii="Times New Roman" w:hAnsi="Times New Roman" w:eastAsia="宋体" w:cs="Times New Roman"/>
                <w:color w:val="auto"/>
                <w:spacing w:val="5"/>
                <w:sz w:val="21"/>
                <w:szCs w:val="21"/>
                <w:highlight w:val="none"/>
              </w:rPr>
              <w:t>噪声执行《建筑施工噪声排放标准》（GB12523-20</w:t>
            </w:r>
            <w:r>
              <w:rPr>
                <w:rFonts w:hint="eastAsia" w:ascii="Times New Roman" w:hAnsi="Times New Roman" w:cs="Times New Roman"/>
                <w:color w:val="auto"/>
                <w:spacing w:val="5"/>
                <w:sz w:val="21"/>
                <w:szCs w:val="21"/>
                <w:highlight w:val="none"/>
                <w:lang w:val="en-US" w:eastAsia="zh-CN"/>
              </w:rPr>
              <w:t>25</w:t>
            </w:r>
            <w:r>
              <w:rPr>
                <w:rFonts w:hint="default" w:ascii="Times New Roman" w:hAnsi="Times New Roman" w:eastAsia="宋体" w:cs="Times New Roman"/>
                <w:color w:val="auto"/>
                <w:spacing w:val="5"/>
                <w:sz w:val="21"/>
                <w:szCs w:val="21"/>
                <w:highlight w:val="none"/>
              </w:rPr>
              <w:t>）表1中限值；大气执行《大气污染物综合排放标准》(GB16297-1996)中无组织排放监控浓度限值1.0mg/m</w:t>
            </w:r>
            <w:r>
              <w:rPr>
                <w:rFonts w:hint="default" w:ascii="Times New Roman" w:hAnsi="Times New Roman" w:eastAsia="宋体" w:cs="Times New Roman"/>
                <w:color w:val="auto"/>
                <w:spacing w:val="5"/>
                <w:sz w:val="21"/>
                <w:szCs w:val="21"/>
                <w:highlight w:val="none"/>
                <w:vertAlign w:val="superscript"/>
                <w:lang w:val="en-US" w:eastAsia="zh-CN"/>
              </w:rPr>
              <w:t>3</w:t>
            </w:r>
            <w:r>
              <w:rPr>
                <w:rFonts w:hint="default" w:ascii="Times New Roman" w:hAnsi="Times New Roman" w:eastAsia="宋体" w:cs="Times New Roman"/>
                <w:color w:val="auto"/>
                <w:spacing w:val="5"/>
                <w:sz w:val="21"/>
                <w:szCs w:val="21"/>
                <w:highlight w:val="none"/>
              </w:rPr>
              <w:t>。</w:t>
            </w:r>
          </w:p>
        </w:tc>
        <w:tc>
          <w:tcPr>
            <w:tcW w:w="147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4"/>
                <w:sz w:val="21"/>
                <w:szCs w:val="21"/>
                <w:highlight w:val="none"/>
              </w:rPr>
              <w:t>每季度监测1次厂界噪声，每次</w:t>
            </w:r>
            <w:r>
              <w:rPr>
                <w:rFonts w:hint="default" w:ascii="Times New Roman" w:hAnsi="Times New Roman" w:eastAsia="宋体" w:cs="Times New Roman"/>
                <w:color w:val="auto"/>
                <w:spacing w:val="11"/>
                <w:sz w:val="21"/>
                <w:szCs w:val="21"/>
                <w:highlight w:val="none"/>
              </w:rPr>
              <w:t>昼夜各监测1次</w:t>
            </w:r>
            <w:r>
              <w:rPr>
                <w:rFonts w:hint="eastAsia" w:ascii="Times New Roman" w:hAnsi="Times New Roman" w:cs="Times New Roman"/>
                <w:color w:val="auto"/>
                <w:spacing w:val="11"/>
                <w:sz w:val="21"/>
                <w:szCs w:val="21"/>
                <w:highlight w:val="none"/>
                <w:lang w:eastAsia="zh-CN"/>
              </w:rPr>
              <w:t>；</w:t>
            </w:r>
          </w:p>
        </w:tc>
        <w:tc>
          <w:tcPr>
            <w:tcW w:w="126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pacing w:val="-23"/>
                <w:sz w:val="21"/>
                <w:szCs w:val="21"/>
                <w:highlight w:val="none"/>
              </w:rPr>
              <w:t>噪声执行《</w:t>
            </w:r>
            <w:r>
              <w:rPr>
                <w:rFonts w:hint="default" w:ascii="Times New Roman" w:hAnsi="Times New Roman" w:eastAsia="宋体" w:cs="Times New Roman"/>
                <w:color w:val="auto"/>
                <w:spacing w:val="-11"/>
                <w:sz w:val="21"/>
                <w:szCs w:val="21"/>
                <w:highlight w:val="none"/>
              </w:rPr>
              <w:t>工</w:t>
            </w:r>
            <w:r>
              <w:rPr>
                <w:rFonts w:hint="default" w:ascii="Times New Roman" w:hAnsi="Times New Roman" w:eastAsia="宋体" w:cs="Times New Roman"/>
                <w:color w:val="auto"/>
                <w:spacing w:val="2"/>
                <w:sz w:val="21"/>
                <w:szCs w:val="21"/>
                <w:highlight w:val="none"/>
              </w:rPr>
              <w:t>业企业厂界</w:t>
            </w:r>
            <w:r>
              <w:rPr>
                <w:rFonts w:hint="default" w:ascii="Times New Roman" w:hAnsi="Times New Roman" w:eastAsia="宋体" w:cs="Times New Roman"/>
                <w:color w:val="auto"/>
                <w:spacing w:val="-1"/>
                <w:sz w:val="21"/>
                <w:szCs w:val="21"/>
                <w:highlight w:val="none"/>
              </w:rPr>
              <w:t>噪声排放标准》</w:t>
            </w:r>
            <w:r>
              <w:rPr>
                <w:rFonts w:hint="default" w:ascii="Times New Roman" w:hAnsi="Times New Roman" w:eastAsia="宋体" w:cs="Times New Roman"/>
                <w:color w:val="auto"/>
                <w:spacing w:val="3"/>
                <w:sz w:val="21"/>
                <w:szCs w:val="21"/>
                <w:highlight w:val="none"/>
              </w:rPr>
              <w:t>（</w:t>
            </w:r>
            <w:r>
              <w:rPr>
                <w:rFonts w:hint="default" w:ascii="Times New Roman" w:hAnsi="Times New Roman" w:eastAsia="宋体" w:cs="Times New Roman"/>
                <w:color w:val="auto"/>
                <w:sz w:val="21"/>
                <w:szCs w:val="21"/>
                <w:highlight w:val="none"/>
              </w:rPr>
              <w:t>GB</w:t>
            </w:r>
            <w:r>
              <w:rPr>
                <w:rFonts w:hint="default" w:ascii="Times New Roman" w:hAnsi="Times New Roman" w:eastAsia="宋体" w:cs="Times New Roman"/>
                <w:color w:val="auto"/>
                <w:spacing w:val="3"/>
                <w:sz w:val="21"/>
                <w:szCs w:val="21"/>
                <w:highlight w:val="none"/>
              </w:rPr>
              <w:t>12348-</w:t>
            </w:r>
            <w:r>
              <w:rPr>
                <w:rFonts w:hint="default" w:ascii="Times New Roman" w:hAnsi="Times New Roman" w:eastAsia="宋体" w:cs="Times New Roman"/>
                <w:color w:val="auto"/>
                <w:spacing w:val="-1"/>
                <w:sz w:val="21"/>
                <w:szCs w:val="21"/>
                <w:highlight w:val="none"/>
              </w:rPr>
              <w:t>2008)1类标</w:t>
            </w:r>
            <w:r>
              <w:rPr>
                <w:rFonts w:hint="default" w:ascii="Times New Roman" w:hAnsi="Times New Roman" w:eastAsia="宋体" w:cs="Times New Roman"/>
                <w:color w:val="auto"/>
                <w:sz w:val="21"/>
                <w:szCs w:val="21"/>
                <w:highlight w:val="none"/>
              </w:rPr>
              <w:t>准</w:t>
            </w:r>
            <w:r>
              <w:rPr>
                <w:rFonts w:hint="eastAsia" w:ascii="Times New Roman" w:hAnsi="Times New Roman" w:cs="Times New Roman"/>
                <w:color w:val="auto"/>
                <w:sz w:val="21"/>
                <w:szCs w:val="21"/>
                <w:highlight w:val="none"/>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540" w:hRule="atLeast"/>
          <w:jc w:val="center"/>
        </w:trPr>
        <w:tc>
          <w:tcPr>
            <w:tcW w:w="1227" w:type="dxa"/>
            <w:tcBorders>
              <w:tl2br w:val="nil"/>
              <w:tr2bl w:val="nil"/>
            </w:tcBorders>
            <w:vAlign w:val="center"/>
          </w:tcPr>
          <w:p>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w:t>
            </w:r>
          </w:p>
        </w:tc>
        <w:tc>
          <w:tcPr>
            <w:tcW w:w="345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c>
          <w:tcPr>
            <w:tcW w:w="177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c>
          <w:tcPr>
            <w:tcW w:w="14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c>
          <w:tcPr>
            <w:tcW w:w="126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1"/>
                <w:sz w:val="21"/>
                <w:szCs w:val="21"/>
                <w:highlight w:val="none"/>
              </w:rPr>
              <w:t>/</w:t>
            </w:r>
          </w:p>
        </w:tc>
      </w:tr>
    </w:tbl>
    <w:p>
      <w:pPr>
        <w:pStyle w:val="31"/>
        <w:jc w:val="center"/>
        <w:outlineLvl w:val="0"/>
        <w:rPr>
          <w:rFonts w:hint="eastAsia" w:ascii="黑体" w:hAnsi="黑体" w:eastAsia="黑体"/>
          <w:snapToGrid w:val="0"/>
          <w:color w:val="auto"/>
          <w:sz w:val="30"/>
          <w:szCs w:val="30"/>
          <w:highlight w:val="none"/>
          <w:lang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31"/>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lang w:eastAsia="zh-CN"/>
        </w:rPr>
        <w:t>七</w:t>
      </w:r>
      <w:r>
        <w:rPr>
          <w:rFonts w:hint="eastAsia" w:ascii="黑体" w:hAnsi="黑体" w:eastAsia="黑体"/>
          <w:snapToGrid w:val="0"/>
          <w:color w:val="auto"/>
          <w:sz w:val="30"/>
          <w:szCs w:val="30"/>
          <w:highlight w:val="none"/>
        </w:rPr>
        <w:t>、结论</w:t>
      </w:r>
    </w:p>
    <w:tbl>
      <w:tblPr>
        <w:tblStyle w:val="3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378" w:hRule="atLeast"/>
          <w:jc w:val="center"/>
        </w:trPr>
        <w:tc>
          <w:tcPr>
            <w:tcW w:w="8865" w:type="dxa"/>
            <w:tcBorders>
              <w:tl2br w:val="nil"/>
              <w:tr2bl w:val="nil"/>
            </w:tcBorders>
          </w:tcPr>
          <w:p>
            <w:pPr>
              <w:spacing w:line="360" w:lineRule="auto"/>
              <w:ind w:firstLine="480" w:firstLineChars="200"/>
              <w:rPr>
                <w:rFonts w:ascii="仿宋_GB2312" w:hAnsi="仿宋_GB2312" w:eastAsia="仿宋_GB2312" w:cs="仿宋_GB2312"/>
                <w:color w:val="auto"/>
                <w:sz w:val="24"/>
                <w:highlight w:val="none"/>
              </w:rPr>
            </w:pPr>
            <w:r>
              <w:rPr>
                <w:rFonts w:hint="default" w:ascii="Times New Roman" w:hAnsi="Times New Roman" w:eastAsia="仿宋_GB2312" w:cs="Times New Roman"/>
                <w:b w:val="0"/>
                <w:bCs w:val="0"/>
                <w:color w:val="auto"/>
                <w:sz w:val="24"/>
                <w:szCs w:val="24"/>
                <w:highlight w:val="none"/>
              </w:rPr>
              <w:t>本项目建设符合国家产业政策、选址基本合理、污染物的防治措施在技术上和经济上可行</w:t>
            </w:r>
            <w:r>
              <w:rPr>
                <w:rFonts w:hint="default" w:ascii="Times New Roman" w:hAnsi="Times New Roman" w:eastAsia="仿宋_GB2312" w:cs="Times New Roman"/>
                <w:b w:val="0"/>
                <w:bCs w:val="0"/>
                <w:color w:val="auto"/>
                <w:sz w:val="24"/>
                <w:szCs w:val="24"/>
                <w:highlight w:val="none"/>
                <w:lang w:eastAsia="zh-CN"/>
              </w:rPr>
              <w:t>，</w:t>
            </w:r>
            <w:r>
              <w:rPr>
                <w:rFonts w:hint="default" w:ascii="Times New Roman" w:hAnsi="Times New Roman" w:eastAsia="仿宋_GB2312" w:cs="Times New Roman"/>
                <w:b w:val="0"/>
                <w:bCs w:val="0"/>
                <w:color w:val="auto"/>
                <w:sz w:val="24"/>
                <w:szCs w:val="24"/>
                <w:highlight w:val="none"/>
              </w:rPr>
              <w:t>能实现达标排放。项目在建设过程中应严格认真执行环境保护</w:t>
            </w:r>
            <w:r>
              <w:rPr>
                <w:rFonts w:hint="default" w:ascii="Times New Roman" w:hAnsi="Times New Roman" w:eastAsia="仿宋_GB2312" w:cs="Times New Roman"/>
                <w:b w:val="0"/>
                <w:bCs w:val="0"/>
                <w:color w:val="auto"/>
                <w:sz w:val="24"/>
                <w:szCs w:val="24"/>
                <w:highlight w:val="none"/>
                <w:lang w:eastAsia="zh-CN"/>
              </w:rPr>
              <w:t>“</w:t>
            </w:r>
            <w:r>
              <w:rPr>
                <w:rFonts w:hint="default" w:ascii="Times New Roman" w:hAnsi="Times New Roman" w:eastAsia="仿宋_GB2312" w:cs="Times New Roman"/>
                <w:b w:val="0"/>
                <w:bCs w:val="0"/>
                <w:color w:val="auto"/>
                <w:sz w:val="24"/>
                <w:szCs w:val="24"/>
                <w:highlight w:val="none"/>
              </w:rPr>
              <w:t>三同时</w:t>
            </w:r>
            <w:r>
              <w:rPr>
                <w:rFonts w:hint="default" w:ascii="Times New Roman" w:hAnsi="Times New Roman" w:eastAsia="仿宋_GB2312" w:cs="Times New Roman"/>
                <w:b w:val="0"/>
                <w:bCs w:val="0"/>
                <w:color w:val="auto"/>
                <w:sz w:val="24"/>
                <w:szCs w:val="24"/>
                <w:highlight w:val="none"/>
                <w:lang w:eastAsia="zh-CN"/>
              </w:rPr>
              <w:t>”</w:t>
            </w:r>
            <w:r>
              <w:rPr>
                <w:rFonts w:hint="default" w:ascii="Times New Roman" w:hAnsi="Times New Roman" w:eastAsia="仿宋_GB2312" w:cs="Times New Roman"/>
                <w:b w:val="0"/>
                <w:bCs w:val="0"/>
                <w:color w:val="auto"/>
                <w:sz w:val="24"/>
                <w:szCs w:val="24"/>
                <w:highlight w:val="none"/>
              </w:rPr>
              <w:t>制度，切实落实本报告的各项污染防治措施和环境管理措施，确保污染物稳定达标排放。从满足区域环境功能和环境质量目标的角度分析，</w:t>
            </w:r>
            <w:r>
              <w:rPr>
                <w:rFonts w:hint="default" w:ascii="Times New Roman" w:hAnsi="Times New Roman" w:eastAsia="仿宋_GB2312" w:cs="Times New Roman"/>
                <w:b/>
                <w:bCs/>
                <w:color w:val="auto"/>
                <w:sz w:val="24"/>
                <w:szCs w:val="24"/>
                <w:highlight w:val="none"/>
              </w:rPr>
              <w:t>项目建设可行。</w:t>
            </w:r>
          </w:p>
        </w:tc>
      </w:tr>
    </w:tbl>
    <w:p>
      <w:pPr>
        <w:rPr>
          <w:rFonts w:ascii="宋体" w:hAnsi="宋体" w:eastAsia="黑体"/>
          <w:color w:val="auto"/>
          <w:highlight w:val="none"/>
        </w:rPr>
      </w:pPr>
    </w:p>
    <w:sectPr>
      <w:footerReference r:id="rId7" w:type="default"/>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Nimbus Roman No9 L"/>
    <w:panose1 w:val="02020603050405020304"/>
    <w:charset w:val="81"/>
    <w:family w:val="roman"/>
    <w:pitch w:val="default"/>
    <w:sig w:usb0="00000000" w:usb1="00000000" w:usb2="00000009" w:usb3="00000000" w:csb0="400001FF" w:csb1="FFFF0000"/>
  </w:font>
  <w:font w:name="宋体">
    <w:altName w:val="方正书宋_GBK"/>
    <w:panose1 w:val="02010600030101010101"/>
    <w:charset w:val="50"/>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MingLiU">
    <w:altName w:val="Droid Sans Japanese"/>
    <w:panose1 w:val="02020509000000000000"/>
    <w:charset w:val="88"/>
    <w:family w:val="modern"/>
    <w:pitch w:val="default"/>
    <w:sig w:usb0="00000000" w:usb1="00000000" w:usb2="00000016" w:usb3="00000000" w:csb0="00100001" w:csb1="00000000"/>
  </w:font>
  <w:font w:name="Arial Black">
    <w:altName w:val="Nimbus Roman No9 L"/>
    <w:panose1 w:val="020B0A04020102020204"/>
    <w:charset w:val="00"/>
    <w:family w:val="swiss"/>
    <w:pitch w:val="default"/>
    <w:sig w:usb0="00000000" w:usb1="00000000" w:usb2="00000000" w:usb3="00000000" w:csb0="6000009F" w:csb1="DFD70000"/>
  </w:font>
  <w:font w:name="Tms Rmn">
    <w:altName w:val="FreeSerif"/>
    <w:panose1 w:val="02020603040505020304"/>
    <w:charset w:val="00"/>
    <w:family w:val="roman"/>
    <w:pitch w:val="default"/>
    <w:sig w:usb0="00000000" w:usb1="00000000" w:usb2="00000000" w:usb3="00000000" w:csb0="00000001" w:csb1="00000000"/>
  </w:font>
  <w:font w:name="楷体_GB2312">
    <w:altName w:val="楷体"/>
    <w:panose1 w:val="02010609030101010101"/>
    <w:charset w:val="86"/>
    <w:family w:val="modern"/>
    <w:pitch w:val="default"/>
    <w:sig w:usb0="00000000" w:usb1="00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方正仿宋_GB2312">
    <w:altName w:val="方正仿宋_GBK"/>
    <w:panose1 w:val="02000000000000000000"/>
    <w:charset w:val="86"/>
    <w:family w:val="auto"/>
    <w:pitch w:val="default"/>
    <w:sig w:usb0="00000000" w:usb1="00000000" w:usb2="00000012" w:usb3="00000000" w:csb0="00040001" w:csb1="00000000"/>
  </w:font>
  <w:font w:name="方正书宋_GBK">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方正宋体S-超大字符集">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方正仿宋_GBK">
    <w:panose1 w:val="02000000000000000000"/>
    <w:charset w:val="86"/>
    <w:family w:val="auto"/>
    <w:pitch w:val="default"/>
    <w:sig w:usb0="00000001" w:usb1="08000000" w:usb2="00000000" w:usb3="00000000" w:csb0="00040000" w:csb1="00000000"/>
  </w:font>
  <w:font w:name="Droid Sans Fallback">
    <w:panose1 w:val="020B0502000000000001"/>
    <w:charset w:val="86"/>
    <w:family w:val="auto"/>
    <w:pitch w:val="default"/>
    <w:sig w:usb0="910002FF" w:usb1="2BDFFCFB" w:usb2="00000036" w:usb3="00000000" w:csb0="203F01FF" w:csb1="D7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framePr w:wrap="around" w:vAnchor="text" w:hAnchor="margin" w:xAlign="center" w:y="1"/>
      <w:rPr>
        <w:rStyle w:val="39"/>
      </w:rPr>
    </w:pPr>
    <w:r>
      <w:fldChar w:fldCharType="begin"/>
    </w:r>
    <w:r>
      <w:rPr>
        <w:rStyle w:val="39"/>
      </w:rPr>
      <w:instrText xml:space="preserve">PAGE  </w:instrText>
    </w:r>
    <w:r>
      <w:fldChar w:fldCharType="end"/>
    </w:r>
  </w:p>
  <w:p>
    <w:pPr>
      <w:pStyle w:val="2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rPr>
                              <w:rFonts w:hint="eastAsia"/>
                            </w:rPr>
                            <w:fldChar w:fldCharType="begin"/>
                          </w:r>
                          <w:r>
                            <w:rPr>
                              <w:rFonts w:hint="eastAsia"/>
                            </w:rPr>
                            <w:instrText xml:space="preserve"> PAGE  \* MERGEFORMAT </w:instrText>
                          </w:r>
                          <w:r>
                            <w:rPr>
                              <w:rFonts w:hint="eastAsia"/>
                            </w:rPr>
                            <w:fldChar w:fldCharType="separate"/>
                          </w:r>
                          <w:r>
                            <w:t>- 23 -</w:t>
                          </w:r>
                          <w:r>
                            <w:rPr>
                              <w:rFonts w:hint="eastAsia"/>
                            </w:rPr>
                            <w:fldChar w:fldCharType="end"/>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BYAAABkcnMvUEsBAhQAFAAAAAgAh07iQLNJ&#10;WO7QAAAABQEAAA8AAAAAAAAAAQAgAAAAOAAAAGRycy9kb3ducmV2LnhtbFBLAQIUABQAAAAIAIdO&#10;4kCgF26zFQIAABkEAAAOAAAAAAAAAAEAIAAAADUBAABkcnMvZTJvRG9jLnhtbFBLBQYAAAAABgAG&#10;AFkBAAC8BQAAAAA=&#10;">
              <v:fill on="f" focussize="0,0"/>
              <v:stroke on="f" weight="0.5pt"/>
              <v:imagedata o:title=""/>
              <o:lock v:ext="edit" aspectratio="f"/>
              <v:textbox inset="0mm,0mm,0mm,0mm" style="mso-fit-shape-to-text:t;">
                <w:txbxContent>
                  <w:p>
                    <w:pPr>
                      <w:pStyle w:val="20"/>
                    </w:pPr>
                    <w:r>
                      <w:rPr>
                        <w:rFonts w:hint="eastAsia"/>
                      </w:rPr>
                      <w:fldChar w:fldCharType="begin"/>
                    </w:r>
                    <w:r>
                      <w:rPr>
                        <w:rFonts w:hint="eastAsia"/>
                      </w:rPr>
                      <w:instrText xml:space="preserve"> PAGE  \* MERGEFORMAT </w:instrText>
                    </w:r>
                    <w:r>
                      <w:rPr>
                        <w:rFonts w:hint="eastAsia"/>
                      </w:rPr>
                      <w:fldChar w:fldCharType="separate"/>
                    </w:r>
                    <w:r>
                      <w:t>- 23 -</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0C0E934"/>
    <w:multiLevelType w:val="singleLevel"/>
    <w:tmpl w:val="10C0E934"/>
    <w:lvl w:ilvl="0" w:tentative="0">
      <w:start w:val="1"/>
      <w:numFmt w:val="bullet"/>
      <w:pStyle w:val="16"/>
      <w:lvlText w:val=""/>
      <w:lvlJc w:val="left"/>
      <w:pPr>
        <w:tabs>
          <w:tab w:val="left" w:pos="2040"/>
        </w:tabs>
        <w:ind w:left="2040" w:hanging="36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false"/>
  <w:bordersDoNotSurroundFooter w:val="fals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true"/>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ZhNmM4NzAxZmNhNTcyNWQzNzg5NGMyYjUwMjhhNWUifQ=="/>
  </w:docVars>
  <w:rsids>
    <w:rsidRoot w:val="00172A27"/>
    <w:rsid w:val="000060B3"/>
    <w:rsid w:val="000276DA"/>
    <w:rsid w:val="0004364B"/>
    <w:rsid w:val="00061B1F"/>
    <w:rsid w:val="000733C4"/>
    <w:rsid w:val="00074783"/>
    <w:rsid w:val="0008070B"/>
    <w:rsid w:val="000810AC"/>
    <w:rsid w:val="00081A02"/>
    <w:rsid w:val="00082154"/>
    <w:rsid w:val="00082231"/>
    <w:rsid w:val="00092D38"/>
    <w:rsid w:val="0009377B"/>
    <w:rsid w:val="000A20C9"/>
    <w:rsid w:val="000B058F"/>
    <w:rsid w:val="000B4467"/>
    <w:rsid w:val="000B4DB9"/>
    <w:rsid w:val="000C09AC"/>
    <w:rsid w:val="000C767F"/>
    <w:rsid w:val="000D5A44"/>
    <w:rsid w:val="000E3ED2"/>
    <w:rsid w:val="000E546E"/>
    <w:rsid w:val="00131F42"/>
    <w:rsid w:val="001357F1"/>
    <w:rsid w:val="00140FA8"/>
    <w:rsid w:val="00142FEB"/>
    <w:rsid w:val="00143A2D"/>
    <w:rsid w:val="00145A41"/>
    <w:rsid w:val="00151675"/>
    <w:rsid w:val="00157435"/>
    <w:rsid w:val="00172A27"/>
    <w:rsid w:val="0017504D"/>
    <w:rsid w:val="0017671A"/>
    <w:rsid w:val="00177422"/>
    <w:rsid w:val="0018274C"/>
    <w:rsid w:val="00184590"/>
    <w:rsid w:val="001870D1"/>
    <w:rsid w:val="0018781E"/>
    <w:rsid w:val="0019262D"/>
    <w:rsid w:val="001967C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52A2"/>
    <w:rsid w:val="00226574"/>
    <w:rsid w:val="002278EC"/>
    <w:rsid w:val="0023280E"/>
    <w:rsid w:val="002377D1"/>
    <w:rsid w:val="00240E0D"/>
    <w:rsid w:val="002506BC"/>
    <w:rsid w:val="00254345"/>
    <w:rsid w:val="00264557"/>
    <w:rsid w:val="002805AB"/>
    <w:rsid w:val="00284204"/>
    <w:rsid w:val="00291773"/>
    <w:rsid w:val="002A168C"/>
    <w:rsid w:val="002A3DC7"/>
    <w:rsid w:val="002B49E2"/>
    <w:rsid w:val="002B7B00"/>
    <w:rsid w:val="002B7C44"/>
    <w:rsid w:val="002C19E0"/>
    <w:rsid w:val="002C2B17"/>
    <w:rsid w:val="002D3DD0"/>
    <w:rsid w:val="002E1F3A"/>
    <w:rsid w:val="002E298A"/>
    <w:rsid w:val="00301978"/>
    <w:rsid w:val="0030332C"/>
    <w:rsid w:val="003051C2"/>
    <w:rsid w:val="00312296"/>
    <w:rsid w:val="00314F0E"/>
    <w:rsid w:val="00321D8E"/>
    <w:rsid w:val="00325094"/>
    <w:rsid w:val="00325928"/>
    <w:rsid w:val="00332863"/>
    <w:rsid w:val="0033684D"/>
    <w:rsid w:val="00337B42"/>
    <w:rsid w:val="00340BB7"/>
    <w:rsid w:val="00341B42"/>
    <w:rsid w:val="0034348F"/>
    <w:rsid w:val="00356653"/>
    <w:rsid w:val="0035680E"/>
    <w:rsid w:val="0035743F"/>
    <w:rsid w:val="00357BE2"/>
    <w:rsid w:val="0036170C"/>
    <w:rsid w:val="00366E0F"/>
    <w:rsid w:val="00381A72"/>
    <w:rsid w:val="00382DEE"/>
    <w:rsid w:val="00384676"/>
    <w:rsid w:val="00385155"/>
    <w:rsid w:val="00390857"/>
    <w:rsid w:val="003918F2"/>
    <w:rsid w:val="003A4BF3"/>
    <w:rsid w:val="003B420D"/>
    <w:rsid w:val="003C6C16"/>
    <w:rsid w:val="003D794D"/>
    <w:rsid w:val="003E3058"/>
    <w:rsid w:val="003E76A9"/>
    <w:rsid w:val="003F03C3"/>
    <w:rsid w:val="003F0809"/>
    <w:rsid w:val="003F6A8C"/>
    <w:rsid w:val="003F755C"/>
    <w:rsid w:val="00406F01"/>
    <w:rsid w:val="00416D50"/>
    <w:rsid w:val="00416FD5"/>
    <w:rsid w:val="00417772"/>
    <w:rsid w:val="00420E6A"/>
    <w:rsid w:val="00425A9E"/>
    <w:rsid w:val="00426D6B"/>
    <w:rsid w:val="00431E6C"/>
    <w:rsid w:val="00433CE7"/>
    <w:rsid w:val="00443D14"/>
    <w:rsid w:val="0044415B"/>
    <w:rsid w:val="00452738"/>
    <w:rsid w:val="00456091"/>
    <w:rsid w:val="00466321"/>
    <w:rsid w:val="00484B9B"/>
    <w:rsid w:val="004855F6"/>
    <w:rsid w:val="0048661E"/>
    <w:rsid w:val="00494670"/>
    <w:rsid w:val="004A3823"/>
    <w:rsid w:val="004E6946"/>
    <w:rsid w:val="004F1AD8"/>
    <w:rsid w:val="004F7597"/>
    <w:rsid w:val="005039CB"/>
    <w:rsid w:val="0050558F"/>
    <w:rsid w:val="00506286"/>
    <w:rsid w:val="00510813"/>
    <w:rsid w:val="00511990"/>
    <w:rsid w:val="00511DE0"/>
    <w:rsid w:val="00514870"/>
    <w:rsid w:val="00514B9B"/>
    <w:rsid w:val="00517F02"/>
    <w:rsid w:val="00524303"/>
    <w:rsid w:val="005258A2"/>
    <w:rsid w:val="00530A7E"/>
    <w:rsid w:val="005401AE"/>
    <w:rsid w:val="00542E07"/>
    <w:rsid w:val="00545424"/>
    <w:rsid w:val="00554A7B"/>
    <w:rsid w:val="0055572C"/>
    <w:rsid w:val="0056106A"/>
    <w:rsid w:val="005720AE"/>
    <w:rsid w:val="00594D77"/>
    <w:rsid w:val="005969E4"/>
    <w:rsid w:val="005A06B7"/>
    <w:rsid w:val="005A1759"/>
    <w:rsid w:val="005A64C9"/>
    <w:rsid w:val="005A68A7"/>
    <w:rsid w:val="005B5FC5"/>
    <w:rsid w:val="005C61A2"/>
    <w:rsid w:val="005D36AB"/>
    <w:rsid w:val="00600645"/>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2C97"/>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5CE6"/>
    <w:rsid w:val="008F60D8"/>
    <w:rsid w:val="00902727"/>
    <w:rsid w:val="0090312B"/>
    <w:rsid w:val="0091736D"/>
    <w:rsid w:val="0093037A"/>
    <w:rsid w:val="0094154D"/>
    <w:rsid w:val="00947AAF"/>
    <w:rsid w:val="0095155F"/>
    <w:rsid w:val="00954429"/>
    <w:rsid w:val="009563CE"/>
    <w:rsid w:val="0097629E"/>
    <w:rsid w:val="00976328"/>
    <w:rsid w:val="0097680D"/>
    <w:rsid w:val="00982438"/>
    <w:rsid w:val="0098404C"/>
    <w:rsid w:val="00985283"/>
    <w:rsid w:val="00995992"/>
    <w:rsid w:val="00996A00"/>
    <w:rsid w:val="009A03E5"/>
    <w:rsid w:val="009A0F3B"/>
    <w:rsid w:val="009A1BB4"/>
    <w:rsid w:val="009A2628"/>
    <w:rsid w:val="009A3200"/>
    <w:rsid w:val="009B0897"/>
    <w:rsid w:val="009B7BD9"/>
    <w:rsid w:val="009C2C7F"/>
    <w:rsid w:val="009C7DD5"/>
    <w:rsid w:val="009E227D"/>
    <w:rsid w:val="009E5019"/>
    <w:rsid w:val="00A04F1B"/>
    <w:rsid w:val="00A0501B"/>
    <w:rsid w:val="00A14947"/>
    <w:rsid w:val="00A32A83"/>
    <w:rsid w:val="00A368DB"/>
    <w:rsid w:val="00A423AA"/>
    <w:rsid w:val="00A53EC6"/>
    <w:rsid w:val="00A55C0F"/>
    <w:rsid w:val="00A73A39"/>
    <w:rsid w:val="00A74CF7"/>
    <w:rsid w:val="00A8713F"/>
    <w:rsid w:val="00A90BA1"/>
    <w:rsid w:val="00A97A9A"/>
    <w:rsid w:val="00AA0671"/>
    <w:rsid w:val="00AA2531"/>
    <w:rsid w:val="00AA5870"/>
    <w:rsid w:val="00AB1E09"/>
    <w:rsid w:val="00AB5330"/>
    <w:rsid w:val="00AB7747"/>
    <w:rsid w:val="00AC14CE"/>
    <w:rsid w:val="00AC2A56"/>
    <w:rsid w:val="00AD055E"/>
    <w:rsid w:val="00AD47A7"/>
    <w:rsid w:val="00AF0CBF"/>
    <w:rsid w:val="00AF257F"/>
    <w:rsid w:val="00AF33CF"/>
    <w:rsid w:val="00AF4D50"/>
    <w:rsid w:val="00AF6179"/>
    <w:rsid w:val="00B073B0"/>
    <w:rsid w:val="00B1295A"/>
    <w:rsid w:val="00B20A45"/>
    <w:rsid w:val="00B22C5C"/>
    <w:rsid w:val="00B24F30"/>
    <w:rsid w:val="00B31ABF"/>
    <w:rsid w:val="00B33BE3"/>
    <w:rsid w:val="00B53B5D"/>
    <w:rsid w:val="00B6055E"/>
    <w:rsid w:val="00B6317D"/>
    <w:rsid w:val="00B736EC"/>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C7EBC"/>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8718B"/>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0C67"/>
    <w:rsid w:val="00E412D0"/>
    <w:rsid w:val="00E56322"/>
    <w:rsid w:val="00E60982"/>
    <w:rsid w:val="00E610FC"/>
    <w:rsid w:val="00E62C62"/>
    <w:rsid w:val="00E654C1"/>
    <w:rsid w:val="00E65D97"/>
    <w:rsid w:val="00E72A5A"/>
    <w:rsid w:val="00E73354"/>
    <w:rsid w:val="00E75F6B"/>
    <w:rsid w:val="00E9242D"/>
    <w:rsid w:val="00EA7B87"/>
    <w:rsid w:val="00EB2B85"/>
    <w:rsid w:val="00EB5255"/>
    <w:rsid w:val="00EB5C47"/>
    <w:rsid w:val="00EC599E"/>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0FF4C6E"/>
    <w:rsid w:val="01101675"/>
    <w:rsid w:val="0122204E"/>
    <w:rsid w:val="01290F7E"/>
    <w:rsid w:val="012D2227"/>
    <w:rsid w:val="0132574B"/>
    <w:rsid w:val="01386407"/>
    <w:rsid w:val="015D1E09"/>
    <w:rsid w:val="01763BCE"/>
    <w:rsid w:val="0210576C"/>
    <w:rsid w:val="021D673F"/>
    <w:rsid w:val="022D1001"/>
    <w:rsid w:val="022E0211"/>
    <w:rsid w:val="02697903"/>
    <w:rsid w:val="02775E4F"/>
    <w:rsid w:val="028551FB"/>
    <w:rsid w:val="02866093"/>
    <w:rsid w:val="029F223D"/>
    <w:rsid w:val="02E65F44"/>
    <w:rsid w:val="02EF2D80"/>
    <w:rsid w:val="02F456F2"/>
    <w:rsid w:val="02F96569"/>
    <w:rsid w:val="03100052"/>
    <w:rsid w:val="03651944"/>
    <w:rsid w:val="037979A5"/>
    <w:rsid w:val="03AA5DB1"/>
    <w:rsid w:val="03B0434E"/>
    <w:rsid w:val="03E84F46"/>
    <w:rsid w:val="03EA7B21"/>
    <w:rsid w:val="042E0790"/>
    <w:rsid w:val="042F4508"/>
    <w:rsid w:val="04572531"/>
    <w:rsid w:val="046248DD"/>
    <w:rsid w:val="046505E8"/>
    <w:rsid w:val="047346B0"/>
    <w:rsid w:val="048E79EB"/>
    <w:rsid w:val="049F436D"/>
    <w:rsid w:val="04B2316F"/>
    <w:rsid w:val="04BE504B"/>
    <w:rsid w:val="04C51CFD"/>
    <w:rsid w:val="04D25314"/>
    <w:rsid w:val="04F04B7B"/>
    <w:rsid w:val="04F5062E"/>
    <w:rsid w:val="05131191"/>
    <w:rsid w:val="05177476"/>
    <w:rsid w:val="05774F2C"/>
    <w:rsid w:val="05796EC1"/>
    <w:rsid w:val="05800927"/>
    <w:rsid w:val="05880374"/>
    <w:rsid w:val="058C76C3"/>
    <w:rsid w:val="059C5BCD"/>
    <w:rsid w:val="05A50AC0"/>
    <w:rsid w:val="05A86320"/>
    <w:rsid w:val="05AF5900"/>
    <w:rsid w:val="05CF17C3"/>
    <w:rsid w:val="05D45367"/>
    <w:rsid w:val="05F83EAE"/>
    <w:rsid w:val="060043AE"/>
    <w:rsid w:val="06207321"/>
    <w:rsid w:val="062B4E31"/>
    <w:rsid w:val="063E7D85"/>
    <w:rsid w:val="0671705A"/>
    <w:rsid w:val="067D08E8"/>
    <w:rsid w:val="068F6D3F"/>
    <w:rsid w:val="06A3633C"/>
    <w:rsid w:val="06A81CB5"/>
    <w:rsid w:val="06D7510F"/>
    <w:rsid w:val="06DE41D3"/>
    <w:rsid w:val="06EC65D1"/>
    <w:rsid w:val="06FF4708"/>
    <w:rsid w:val="07235E66"/>
    <w:rsid w:val="0728596A"/>
    <w:rsid w:val="07293586"/>
    <w:rsid w:val="07295285"/>
    <w:rsid w:val="073E518E"/>
    <w:rsid w:val="0746370A"/>
    <w:rsid w:val="07636392"/>
    <w:rsid w:val="07737303"/>
    <w:rsid w:val="07770C56"/>
    <w:rsid w:val="077741FC"/>
    <w:rsid w:val="07AA2823"/>
    <w:rsid w:val="07DD49A7"/>
    <w:rsid w:val="08646E76"/>
    <w:rsid w:val="088466D6"/>
    <w:rsid w:val="08AB6853"/>
    <w:rsid w:val="08AF6BC6"/>
    <w:rsid w:val="08B35707"/>
    <w:rsid w:val="08DF64FD"/>
    <w:rsid w:val="08E433F8"/>
    <w:rsid w:val="08F1233F"/>
    <w:rsid w:val="08F17FDE"/>
    <w:rsid w:val="08F30BBC"/>
    <w:rsid w:val="092217DD"/>
    <w:rsid w:val="093A7294"/>
    <w:rsid w:val="09652EA6"/>
    <w:rsid w:val="09F204B1"/>
    <w:rsid w:val="0A1E1CBC"/>
    <w:rsid w:val="0A263993"/>
    <w:rsid w:val="0A2D3AC2"/>
    <w:rsid w:val="0A3F4C87"/>
    <w:rsid w:val="0A410EC9"/>
    <w:rsid w:val="0A434C51"/>
    <w:rsid w:val="0A490546"/>
    <w:rsid w:val="0A4F48B5"/>
    <w:rsid w:val="0A7669ED"/>
    <w:rsid w:val="0AA755DF"/>
    <w:rsid w:val="0AAF1847"/>
    <w:rsid w:val="0AB85F1E"/>
    <w:rsid w:val="0B120D44"/>
    <w:rsid w:val="0B543555"/>
    <w:rsid w:val="0B6C2585"/>
    <w:rsid w:val="0BD27BF6"/>
    <w:rsid w:val="0BEE21BC"/>
    <w:rsid w:val="0C3B3C7D"/>
    <w:rsid w:val="0C3D1EB8"/>
    <w:rsid w:val="0C963C62"/>
    <w:rsid w:val="0CA158D2"/>
    <w:rsid w:val="0CAB2EAE"/>
    <w:rsid w:val="0CE51C08"/>
    <w:rsid w:val="0CEC568C"/>
    <w:rsid w:val="0CF462EF"/>
    <w:rsid w:val="0D2C5A88"/>
    <w:rsid w:val="0D58015B"/>
    <w:rsid w:val="0D581F8F"/>
    <w:rsid w:val="0D5B011C"/>
    <w:rsid w:val="0D621C7D"/>
    <w:rsid w:val="0D881DA4"/>
    <w:rsid w:val="0DA14385"/>
    <w:rsid w:val="0DA3348D"/>
    <w:rsid w:val="0DFF09EB"/>
    <w:rsid w:val="0E0F1632"/>
    <w:rsid w:val="0E211365"/>
    <w:rsid w:val="0E245572"/>
    <w:rsid w:val="0E3A5F83"/>
    <w:rsid w:val="0E4E1C7F"/>
    <w:rsid w:val="0E73034D"/>
    <w:rsid w:val="0E9438AA"/>
    <w:rsid w:val="0E9F0AB6"/>
    <w:rsid w:val="0EAC6FC4"/>
    <w:rsid w:val="0EBE06BB"/>
    <w:rsid w:val="0F13775A"/>
    <w:rsid w:val="0F283D96"/>
    <w:rsid w:val="0F2E0B64"/>
    <w:rsid w:val="0F3C1481"/>
    <w:rsid w:val="0F4C11EE"/>
    <w:rsid w:val="0F5F45FE"/>
    <w:rsid w:val="0F861C9B"/>
    <w:rsid w:val="0F9A112B"/>
    <w:rsid w:val="0FA17A7C"/>
    <w:rsid w:val="0FC517BC"/>
    <w:rsid w:val="0FD91EF8"/>
    <w:rsid w:val="0FE77D60"/>
    <w:rsid w:val="0FED59A3"/>
    <w:rsid w:val="10190546"/>
    <w:rsid w:val="103D28B6"/>
    <w:rsid w:val="1053332C"/>
    <w:rsid w:val="106D2F64"/>
    <w:rsid w:val="10963305"/>
    <w:rsid w:val="10B63710"/>
    <w:rsid w:val="10B63FE7"/>
    <w:rsid w:val="10C34956"/>
    <w:rsid w:val="10C84DFB"/>
    <w:rsid w:val="10F10820"/>
    <w:rsid w:val="10F13DE0"/>
    <w:rsid w:val="111C2F7A"/>
    <w:rsid w:val="112C3DF5"/>
    <w:rsid w:val="11523D47"/>
    <w:rsid w:val="11535CDA"/>
    <w:rsid w:val="11665CA1"/>
    <w:rsid w:val="11716160"/>
    <w:rsid w:val="11851C0B"/>
    <w:rsid w:val="11974341"/>
    <w:rsid w:val="11A16A45"/>
    <w:rsid w:val="11D56D42"/>
    <w:rsid w:val="11E46932"/>
    <w:rsid w:val="12046FD4"/>
    <w:rsid w:val="12072620"/>
    <w:rsid w:val="1279748D"/>
    <w:rsid w:val="12850115"/>
    <w:rsid w:val="12851EC3"/>
    <w:rsid w:val="132611D0"/>
    <w:rsid w:val="133E3C6D"/>
    <w:rsid w:val="13691DD8"/>
    <w:rsid w:val="13951726"/>
    <w:rsid w:val="1396431F"/>
    <w:rsid w:val="139D281F"/>
    <w:rsid w:val="13E64BE3"/>
    <w:rsid w:val="140E7C96"/>
    <w:rsid w:val="14243CFB"/>
    <w:rsid w:val="142E658A"/>
    <w:rsid w:val="14396509"/>
    <w:rsid w:val="14757D15"/>
    <w:rsid w:val="147C5547"/>
    <w:rsid w:val="14802C1C"/>
    <w:rsid w:val="14842C87"/>
    <w:rsid w:val="14874299"/>
    <w:rsid w:val="14DD2C3C"/>
    <w:rsid w:val="14DD4B1E"/>
    <w:rsid w:val="14EC3391"/>
    <w:rsid w:val="151149C3"/>
    <w:rsid w:val="151C55B2"/>
    <w:rsid w:val="15200D24"/>
    <w:rsid w:val="154C2C7E"/>
    <w:rsid w:val="158D0E46"/>
    <w:rsid w:val="15B960E7"/>
    <w:rsid w:val="15C4403A"/>
    <w:rsid w:val="15C6423D"/>
    <w:rsid w:val="15CE592F"/>
    <w:rsid w:val="15F76B45"/>
    <w:rsid w:val="16087E1D"/>
    <w:rsid w:val="16143AE9"/>
    <w:rsid w:val="161F43DC"/>
    <w:rsid w:val="162E0AC3"/>
    <w:rsid w:val="164107F7"/>
    <w:rsid w:val="16491459"/>
    <w:rsid w:val="16506345"/>
    <w:rsid w:val="16922E00"/>
    <w:rsid w:val="16970417"/>
    <w:rsid w:val="16AE5407"/>
    <w:rsid w:val="16BF5AEC"/>
    <w:rsid w:val="16CA1501"/>
    <w:rsid w:val="16D849B0"/>
    <w:rsid w:val="16F50A0B"/>
    <w:rsid w:val="16F53429"/>
    <w:rsid w:val="16FA2753"/>
    <w:rsid w:val="17125CEF"/>
    <w:rsid w:val="172D2B29"/>
    <w:rsid w:val="17372983"/>
    <w:rsid w:val="1763654B"/>
    <w:rsid w:val="176A5B2B"/>
    <w:rsid w:val="17700F56"/>
    <w:rsid w:val="17701D14"/>
    <w:rsid w:val="17735226"/>
    <w:rsid w:val="17824C23"/>
    <w:rsid w:val="17956C76"/>
    <w:rsid w:val="17975FDC"/>
    <w:rsid w:val="17D631C0"/>
    <w:rsid w:val="17FA594C"/>
    <w:rsid w:val="18481362"/>
    <w:rsid w:val="18746085"/>
    <w:rsid w:val="18773775"/>
    <w:rsid w:val="18866995"/>
    <w:rsid w:val="189659FF"/>
    <w:rsid w:val="189F624C"/>
    <w:rsid w:val="18CB084B"/>
    <w:rsid w:val="18D1090E"/>
    <w:rsid w:val="18E37943"/>
    <w:rsid w:val="18ED7C61"/>
    <w:rsid w:val="1912647A"/>
    <w:rsid w:val="191C3BEB"/>
    <w:rsid w:val="194B54E8"/>
    <w:rsid w:val="195D42DE"/>
    <w:rsid w:val="199C7AF2"/>
    <w:rsid w:val="19BE215E"/>
    <w:rsid w:val="19F5152E"/>
    <w:rsid w:val="1A0B1846"/>
    <w:rsid w:val="1A1C66C0"/>
    <w:rsid w:val="1A3C0B8F"/>
    <w:rsid w:val="1A42393B"/>
    <w:rsid w:val="1A655CA1"/>
    <w:rsid w:val="1A7D624A"/>
    <w:rsid w:val="1A7F18ED"/>
    <w:rsid w:val="1AAD45DE"/>
    <w:rsid w:val="1B046F80"/>
    <w:rsid w:val="1B174E3A"/>
    <w:rsid w:val="1B19207D"/>
    <w:rsid w:val="1B3267B5"/>
    <w:rsid w:val="1B40161D"/>
    <w:rsid w:val="1B441859"/>
    <w:rsid w:val="1B484B32"/>
    <w:rsid w:val="1B60171F"/>
    <w:rsid w:val="1B6606B1"/>
    <w:rsid w:val="1B855497"/>
    <w:rsid w:val="1B964E9C"/>
    <w:rsid w:val="1BA063CD"/>
    <w:rsid w:val="1BAA0BEC"/>
    <w:rsid w:val="1BAD1FB6"/>
    <w:rsid w:val="1BE45D65"/>
    <w:rsid w:val="1BE85F5C"/>
    <w:rsid w:val="1BF73EA9"/>
    <w:rsid w:val="1C0C71B1"/>
    <w:rsid w:val="1C3C12E2"/>
    <w:rsid w:val="1C444B9D"/>
    <w:rsid w:val="1C4E77C9"/>
    <w:rsid w:val="1C5E7925"/>
    <w:rsid w:val="1C6A484E"/>
    <w:rsid w:val="1C7B63D1"/>
    <w:rsid w:val="1CA04843"/>
    <w:rsid w:val="1CA732C5"/>
    <w:rsid w:val="1CBF06C7"/>
    <w:rsid w:val="1CC61A56"/>
    <w:rsid w:val="1CCB1873"/>
    <w:rsid w:val="1CCC1E28"/>
    <w:rsid w:val="1CE912A0"/>
    <w:rsid w:val="1CFD070F"/>
    <w:rsid w:val="1D0C1E50"/>
    <w:rsid w:val="1D2608B0"/>
    <w:rsid w:val="1D2D73DF"/>
    <w:rsid w:val="1D395A93"/>
    <w:rsid w:val="1D5F6196"/>
    <w:rsid w:val="1D6132A5"/>
    <w:rsid w:val="1D721295"/>
    <w:rsid w:val="1D81772B"/>
    <w:rsid w:val="1D8E56D5"/>
    <w:rsid w:val="1DAA7D92"/>
    <w:rsid w:val="1DB7314C"/>
    <w:rsid w:val="1DCC1A4F"/>
    <w:rsid w:val="1DE33F41"/>
    <w:rsid w:val="1DE7541A"/>
    <w:rsid w:val="1E312EFF"/>
    <w:rsid w:val="1E4C7D38"/>
    <w:rsid w:val="1E6037E4"/>
    <w:rsid w:val="1E74728F"/>
    <w:rsid w:val="1E7A43DA"/>
    <w:rsid w:val="1F5C523A"/>
    <w:rsid w:val="1F605651"/>
    <w:rsid w:val="1FDB5AA2"/>
    <w:rsid w:val="1FE7539E"/>
    <w:rsid w:val="1FED7AA3"/>
    <w:rsid w:val="2000527E"/>
    <w:rsid w:val="20533C20"/>
    <w:rsid w:val="205643A1"/>
    <w:rsid w:val="20671BE0"/>
    <w:rsid w:val="207215AC"/>
    <w:rsid w:val="20801654"/>
    <w:rsid w:val="20963CB8"/>
    <w:rsid w:val="20992FDD"/>
    <w:rsid w:val="20A81A1B"/>
    <w:rsid w:val="20AE400E"/>
    <w:rsid w:val="20AF45AF"/>
    <w:rsid w:val="20B07FB6"/>
    <w:rsid w:val="20B363CC"/>
    <w:rsid w:val="20B646FB"/>
    <w:rsid w:val="20DA787E"/>
    <w:rsid w:val="20ED43EC"/>
    <w:rsid w:val="213276BA"/>
    <w:rsid w:val="213B74B1"/>
    <w:rsid w:val="214D3516"/>
    <w:rsid w:val="215A2310"/>
    <w:rsid w:val="216B497A"/>
    <w:rsid w:val="217557EB"/>
    <w:rsid w:val="21784213"/>
    <w:rsid w:val="2197576F"/>
    <w:rsid w:val="21A25092"/>
    <w:rsid w:val="21B46321"/>
    <w:rsid w:val="21BC3427"/>
    <w:rsid w:val="21D304CD"/>
    <w:rsid w:val="21DE318A"/>
    <w:rsid w:val="21EF5B80"/>
    <w:rsid w:val="22093F1B"/>
    <w:rsid w:val="220B1425"/>
    <w:rsid w:val="2217626B"/>
    <w:rsid w:val="22576990"/>
    <w:rsid w:val="22B61C24"/>
    <w:rsid w:val="22BA4BE2"/>
    <w:rsid w:val="22D8597A"/>
    <w:rsid w:val="22E03145"/>
    <w:rsid w:val="22F47480"/>
    <w:rsid w:val="23181E35"/>
    <w:rsid w:val="231D7CD0"/>
    <w:rsid w:val="232E2103"/>
    <w:rsid w:val="233C19EF"/>
    <w:rsid w:val="23515DF1"/>
    <w:rsid w:val="236C410E"/>
    <w:rsid w:val="23774748"/>
    <w:rsid w:val="2397268D"/>
    <w:rsid w:val="23983A20"/>
    <w:rsid w:val="23C54BB2"/>
    <w:rsid w:val="23CD5478"/>
    <w:rsid w:val="23DE1C48"/>
    <w:rsid w:val="23FA7D11"/>
    <w:rsid w:val="240210CD"/>
    <w:rsid w:val="242E6A29"/>
    <w:rsid w:val="244A2F6C"/>
    <w:rsid w:val="244F2331"/>
    <w:rsid w:val="246D27B7"/>
    <w:rsid w:val="246F29D3"/>
    <w:rsid w:val="247B4ED4"/>
    <w:rsid w:val="248F097F"/>
    <w:rsid w:val="24BF09F7"/>
    <w:rsid w:val="24D02818"/>
    <w:rsid w:val="24FE78B3"/>
    <w:rsid w:val="251100F1"/>
    <w:rsid w:val="25164BFC"/>
    <w:rsid w:val="252D53FE"/>
    <w:rsid w:val="25B85CB3"/>
    <w:rsid w:val="25E371D4"/>
    <w:rsid w:val="25EC2D81"/>
    <w:rsid w:val="26291332"/>
    <w:rsid w:val="262B46D7"/>
    <w:rsid w:val="262D1B51"/>
    <w:rsid w:val="26740447"/>
    <w:rsid w:val="268A76AC"/>
    <w:rsid w:val="26D73FC6"/>
    <w:rsid w:val="26D7601D"/>
    <w:rsid w:val="26D905D7"/>
    <w:rsid w:val="26DF3ADE"/>
    <w:rsid w:val="26EC646C"/>
    <w:rsid w:val="26F6277A"/>
    <w:rsid w:val="27004E49"/>
    <w:rsid w:val="270F7EFF"/>
    <w:rsid w:val="27383550"/>
    <w:rsid w:val="275A0816"/>
    <w:rsid w:val="275F6D2E"/>
    <w:rsid w:val="277057A2"/>
    <w:rsid w:val="27BC5E55"/>
    <w:rsid w:val="27C272BD"/>
    <w:rsid w:val="27C70430"/>
    <w:rsid w:val="27E014F2"/>
    <w:rsid w:val="27E70AD2"/>
    <w:rsid w:val="27FF406E"/>
    <w:rsid w:val="28081174"/>
    <w:rsid w:val="28561C88"/>
    <w:rsid w:val="285C7A42"/>
    <w:rsid w:val="286B6D4C"/>
    <w:rsid w:val="28866C2D"/>
    <w:rsid w:val="28B9246E"/>
    <w:rsid w:val="28DC43AF"/>
    <w:rsid w:val="290D27BA"/>
    <w:rsid w:val="290E1520"/>
    <w:rsid w:val="29206EB8"/>
    <w:rsid w:val="292E6DD1"/>
    <w:rsid w:val="294262AC"/>
    <w:rsid w:val="29455AB0"/>
    <w:rsid w:val="29595666"/>
    <w:rsid w:val="296C74E1"/>
    <w:rsid w:val="296D037D"/>
    <w:rsid w:val="29874881"/>
    <w:rsid w:val="29B9024C"/>
    <w:rsid w:val="29C95F5D"/>
    <w:rsid w:val="29E325E0"/>
    <w:rsid w:val="2A294803"/>
    <w:rsid w:val="2A452503"/>
    <w:rsid w:val="2A73489F"/>
    <w:rsid w:val="2A746336"/>
    <w:rsid w:val="2A8D5961"/>
    <w:rsid w:val="2AA84549"/>
    <w:rsid w:val="2AAA65EC"/>
    <w:rsid w:val="2AAD6003"/>
    <w:rsid w:val="2AB84AA0"/>
    <w:rsid w:val="2ACC2454"/>
    <w:rsid w:val="2AED4651"/>
    <w:rsid w:val="2AF87F55"/>
    <w:rsid w:val="2B012531"/>
    <w:rsid w:val="2B38036C"/>
    <w:rsid w:val="2B402928"/>
    <w:rsid w:val="2B404D34"/>
    <w:rsid w:val="2B4F5A75"/>
    <w:rsid w:val="2B551C6C"/>
    <w:rsid w:val="2B6C7C6C"/>
    <w:rsid w:val="2B7D7783"/>
    <w:rsid w:val="2BA6092A"/>
    <w:rsid w:val="2BA936A8"/>
    <w:rsid w:val="2BAD5947"/>
    <w:rsid w:val="2BDA3485"/>
    <w:rsid w:val="2BDB79ED"/>
    <w:rsid w:val="2C315A5A"/>
    <w:rsid w:val="2C3C01C5"/>
    <w:rsid w:val="2C4B1C25"/>
    <w:rsid w:val="2C4D5059"/>
    <w:rsid w:val="2C7A1F15"/>
    <w:rsid w:val="2C8851AD"/>
    <w:rsid w:val="2CAB4A8D"/>
    <w:rsid w:val="2D1C4D7A"/>
    <w:rsid w:val="2D652BC5"/>
    <w:rsid w:val="2D68116A"/>
    <w:rsid w:val="2D9E56F5"/>
    <w:rsid w:val="2DA510B5"/>
    <w:rsid w:val="2DA5538E"/>
    <w:rsid w:val="2DB9081B"/>
    <w:rsid w:val="2DC31699"/>
    <w:rsid w:val="2DCA445E"/>
    <w:rsid w:val="2E0440E1"/>
    <w:rsid w:val="2E093550"/>
    <w:rsid w:val="2E1B3283"/>
    <w:rsid w:val="2E667F96"/>
    <w:rsid w:val="2E8226AB"/>
    <w:rsid w:val="2E881E11"/>
    <w:rsid w:val="2EAE40F8"/>
    <w:rsid w:val="2EAF7A9D"/>
    <w:rsid w:val="2EBF6305"/>
    <w:rsid w:val="2EE31FF3"/>
    <w:rsid w:val="2F3343D8"/>
    <w:rsid w:val="2F8F7B38"/>
    <w:rsid w:val="2FAF1ED5"/>
    <w:rsid w:val="2FD065E6"/>
    <w:rsid w:val="2FD96870"/>
    <w:rsid w:val="2FDE30CD"/>
    <w:rsid w:val="30422D49"/>
    <w:rsid w:val="30580BC9"/>
    <w:rsid w:val="3069765E"/>
    <w:rsid w:val="30891518"/>
    <w:rsid w:val="30901D07"/>
    <w:rsid w:val="30BD6874"/>
    <w:rsid w:val="30CF406E"/>
    <w:rsid w:val="310D3139"/>
    <w:rsid w:val="31197F4E"/>
    <w:rsid w:val="311E2ED7"/>
    <w:rsid w:val="311F12DD"/>
    <w:rsid w:val="315619EE"/>
    <w:rsid w:val="31592A40"/>
    <w:rsid w:val="315C449C"/>
    <w:rsid w:val="315C6121"/>
    <w:rsid w:val="316916AD"/>
    <w:rsid w:val="317E76EA"/>
    <w:rsid w:val="31813D45"/>
    <w:rsid w:val="31B21721"/>
    <w:rsid w:val="31B82709"/>
    <w:rsid w:val="31D05482"/>
    <w:rsid w:val="31F2523F"/>
    <w:rsid w:val="323E39E4"/>
    <w:rsid w:val="32400B34"/>
    <w:rsid w:val="324441EF"/>
    <w:rsid w:val="32917FB8"/>
    <w:rsid w:val="329522B4"/>
    <w:rsid w:val="329E6876"/>
    <w:rsid w:val="32B144B8"/>
    <w:rsid w:val="331D184C"/>
    <w:rsid w:val="33227705"/>
    <w:rsid w:val="332E241D"/>
    <w:rsid w:val="333015F2"/>
    <w:rsid w:val="3344279D"/>
    <w:rsid w:val="334B6320"/>
    <w:rsid w:val="335E1A00"/>
    <w:rsid w:val="337C0E87"/>
    <w:rsid w:val="33863895"/>
    <w:rsid w:val="33896EE1"/>
    <w:rsid w:val="33A1509C"/>
    <w:rsid w:val="33AB32FB"/>
    <w:rsid w:val="33AD497E"/>
    <w:rsid w:val="33C10429"/>
    <w:rsid w:val="33C922B7"/>
    <w:rsid w:val="33D934D4"/>
    <w:rsid w:val="33DA14EB"/>
    <w:rsid w:val="33FE2F6A"/>
    <w:rsid w:val="340E07E5"/>
    <w:rsid w:val="34235BF7"/>
    <w:rsid w:val="34825CF4"/>
    <w:rsid w:val="34A66594"/>
    <w:rsid w:val="34C16D50"/>
    <w:rsid w:val="34C50AB0"/>
    <w:rsid w:val="34EB1C02"/>
    <w:rsid w:val="34EB24D6"/>
    <w:rsid w:val="34FF5323"/>
    <w:rsid w:val="35044A71"/>
    <w:rsid w:val="352C6C95"/>
    <w:rsid w:val="35586B6B"/>
    <w:rsid w:val="358C5FA8"/>
    <w:rsid w:val="35944047"/>
    <w:rsid w:val="35AB1391"/>
    <w:rsid w:val="35C15DF1"/>
    <w:rsid w:val="36074A7F"/>
    <w:rsid w:val="36176A26"/>
    <w:rsid w:val="365D08DD"/>
    <w:rsid w:val="3667058D"/>
    <w:rsid w:val="36723C5D"/>
    <w:rsid w:val="367407A3"/>
    <w:rsid w:val="367801FE"/>
    <w:rsid w:val="3679323D"/>
    <w:rsid w:val="36923549"/>
    <w:rsid w:val="369266D2"/>
    <w:rsid w:val="36962041"/>
    <w:rsid w:val="36B75FBF"/>
    <w:rsid w:val="36BD0C45"/>
    <w:rsid w:val="36FA25D0"/>
    <w:rsid w:val="375021F0"/>
    <w:rsid w:val="37A10563"/>
    <w:rsid w:val="37AC319E"/>
    <w:rsid w:val="37AD797D"/>
    <w:rsid w:val="37E00298"/>
    <w:rsid w:val="37EA0060"/>
    <w:rsid w:val="383A69FC"/>
    <w:rsid w:val="385A6A66"/>
    <w:rsid w:val="387243E8"/>
    <w:rsid w:val="38814F85"/>
    <w:rsid w:val="38975BFC"/>
    <w:rsid w:val="38B302F9"/>
    <w:rsid w:val="38B37E7E"/>
    <w:rsid w:val="38F12CD3"/>
    <w:rsid w:val="38F1355F"/>
    <w:rsid w:val="38F94775"/>
    <w:rsid w:val="3902751A"/>
    <w:rsid w:val="39065BA2"/>
    <w:rsid w:val="390F297D"/>
    <w:rsid w:val="39226346"/>
    <w:rsid w:val="392971ED"/>
    <w:rsid w:val="39325651"/>
    <w:rsid w:val="39343F1A"/>
    <w:rsid w:val="39562689"/>
    <w:rsid w:val="39C11183"/>
    <w:rsid w:val="39CD3503"/>
    <w:rsid w:val="39D0586A"/>
    <w:rsid w:val="3A4D6EBA"/>
    <w:rsid w:val="3A51064C"/>
    <w:rsid w:val="3A865F28"/>
    <w:rsid w:val="3A872856"/>
    <w:rsid w:val="3A916DA7"/>
    <w:rsid w:val="3AC57421"/>
    <w:rsid w:val="3AE20944"/>
    <w:rsid w:val="3AFE1F63"/>
    <w:rsid w:val="3B3763D1"/>
    <w:rsid w:val="3B3E7E4D"/>
    <w:rsid w:val="3B624FFE"/>
    <w:rsid w:val="3B7F45D1"/>
    <w:rsid w:val="3C011D0B"/>
    <w:rsid w:val="3C0841C8"/>
    <w:rsid w:val="3C2B6AE8"/>
    <w:rsid w:val="3C2F4ACA"/>
    <w:rsid w:val="3C2F6E1E"/>
    <w:rsid w:val="3C4F64BA"/>
    <w:rsid w:val="3CB054DF"/>
    <w:rsid w:val="3CC571DC"/>
    <w:rsid w:val="3CDA245A"/>
    <w:rsid w:val="3CED6733"/>
    <w:rsid w:val="3D1E06B7"/>
    <w:rsid w:val="3D257C7B"/>
    <w:rsid w:val="3D346110"/>
    <w:rsid w:val="3D4F2F4A"/>
    <w:rsid w:val="3D5B369C"/>
    <w:rsid w:val="3D6F0440"/>
    <w:rsid w:val="3D910F0B"/>
    <w:rsid w:val="3D9D3CB5"/>
    <w:rsid w:val="3DBA03C3"/>
    <w:rsid w:val="3DC36892"/>
    <w:rsid w:val="3E09134A"/>
    <w:rsid w:val="3E1C58D1"/>
    <w:rsid w:val="3E2C6DE7"/>
    <w:rsid w:val="3E682515"/>
    <w:rsid w:val="3E7B2671"/>
    <w:rsid w:val="3E7F0E8F"/>
    <w:rsid w:val="3EAB6156"/>
    <w:rsid w:val="3EDA0523"/>
    <w:rsid w:val="3F0D09C6"/>
    <w:rsid w:val="3F0E2F30"/>
    <w:rsid w:val="3F4A1C1A"/>
    <w:rsid w:val="3F8073EA"/>
    <w:rsid w:val="3F9B567A"/>
    <w:rsid w:val="3FA44071"/>
    <w:rsid w:val="3FA550A3"/>
    <w:rsid w:val="3FB64F55"/>
    <w:rsid w:val="3FC94921"/>
    <w:rsid w:val="3FE34418"/>
    <w:rsid w:val="3FF04570"/>
    <w:rsid w:val="400D22A5"/>
    <w:rsid w:val="402621C4"/>
    <w:rsid w:val="407A6407"/>
    <w:rsid w:val="408336FE"/>
    <w:rsid w:val="408D6263"/>
    <w:rsid w:val="409C0254"/>
    <w:rsid w:val="40A35A86"/>
    <w:rsid w:val="40B30B18"/>
    <w:rsid w:val="41151A49"/>
    <w:rsid w:val="411B6C88"/>
    <w:rsid w:val="4120764F"/>
    <w:rsid w:val="41360801"/>
    <w:rsid w:val="41B15F81"/>
    <w:rsid w:val="41C841BD"/>
    <w:rsid w:val="4200449D"/>
    <w:rsid w:val="420F2CA7"/>
    <w:rsid w:val="421A6346"/>
    <w:rsid w:val="42225960"/>
    <w:rsid w:val="422B3C9C"/>
    <w:rsid w:val="423170C2"/>
    <w:rsid w:val="423A3BCC"/>
    <w:rsid w:val="424E57D2"/>
    <w:rsid w:val="429170B5"/>
    <w:rsid w:val="42925DB2"/>
    <w:rsid w:val="429305C0"/>
    <w:rsid w:val="42B26C49"/>
    <w:rsid w:val="42BB5980"/>
    <w:rsid w:val="42FF4ACA"/>
    <w:rsid w:val="43030CEF"/>
    <w:rsid w:val="432F04CB"/>
    <w:rsid w:val="433A6FE6"/>
    <w:rsid w:val="43480868"/>
    <w:rsid w:val="43496A2C"/>
    <w:rsid w:val="434B7D0F"/>
    <w:rsid w:val="434E7724"/>
    <w:rsid w:val="4350713C"/>
    <w:rsid w:val="436653E0"/>
    <w:rsid w:val="43AC2EA4"/>
    <w:rsid w:val="43B16BCC"/>
    <w:rsid w:val="43C4431A"/>
    <w:rsid w:val="43C4474D"/>
    <w:rsid w:val="43F403A7"/>
    <w:rsid w:val="44015610"/>
    <w:rsid w:val="44426F00"/>
    <w:rsid w:val="44A45929"/>
    <w:rsid w:val="44B951CC"/>
    <w:rsid w:val="44B9714E"/>
    <w:rsid w:val="44CD14E0"/>
    <w:rsid w:val="44D1265A"/>
    <w:rsid w:val="44F06DC0"/>
    <w:rsid w:val="44F20B0B"/>
    <w:rsid w:val="452731C1"/>
    <w:rsid w:val="452E5F4C"/>
    <w:rsid w:val="455D66D2"/>
    <w:rsid w:val="455F7AA2"/>
    <w:rsid w:val="45612018"/>
    <w:rsid w:val="457572C5"/>
    <w:rsid w:val="458946E9"/>
    <w:rsid w:val="458F0387"/>
    <w:rsid w:val="45A47C0E"/>
    <w:rsid w:val="45CF2E79"/>
    <w:rsid w:val="45D3296A"/>
    <w:rsid w:val="45F11042"/>
    <w:rsid w:val="46002E19"/>
    <w:rsid w:val="46111F45"/>
    <w:rsid w:val="46211670"/>
    <w:rsid w:val="463C0801"/>
    <w:rsid w:val="46577FD6"/>
    <w:rsid w:val="465A27E0"/>
    <w:rsid w:val="46BA28B8"/>
    <w:rsid w:val="46C85655"/>
    <w:rsid w:val="46D955A7"/>
    <w:rsid w:val="46E818EE"/>
    <w:rsid w:val="46EE2A9D"/>
    <w:rsid w:val="46F9684D"/>
    <w:rsid w:val="470E60CC"/>
    <w:rsid w:val="471108B1"/>
    <w:rsid w:val="47133957"/>
    <w:rsid w:val="471C20EE"/>
    <w:rsid w:val="471D5238"/>
    <w:rsid w:val="47256132"/>
    <w:rsid w:val="473C453F"/>
    <w:rsid w:val="476953E6"/>
    <w:rsid w:val="47A07E0C"/>
    <w:rsid w:val="47B7079B"/>
    <w:rsid w:val="47FC7D62"/>
    <w:rsid w:val="480706A9"/>
    <w:rsid w:val="4837209A"/>
    <w:rsid w:val="485105F4"/>
    <w:rsid w:val="4870272E"/>
    <w:rsid w:val="487D096B"/>
    <w:rsid w:val="48952158"/>
    <w:rsid w:val="48CB14D0"/>
    <w:rsid w:val="4910358D"/>
    <w:rsid w:val="49324EB1"/>
    <w:rsid w:val="49460EF7"/>
    <w:rsid w:val="49637446"/>
    <w:rsid w:val="496B398E"/>
    <w:rsid w:val="497601F8"/>
    <w:rsid w:val="49837F59"/>
    <w:rsid w:val="49DC7715"/>
    <w:rsid w:val="49F2096D"/>
    <w:rsid w:val="4A023139"/>
    <w:rsid w:val="4A1C11F4"/>
    <w:rsid w:val="4A7B576F"/>
    <w:rsid w:val="4ABE4879"/>
    <w:rsid w:val="4AD93E52"/>
    <w:rsid w:val="4AF561A9"/>
    <w:rsid w:val="4B0616EB"/>
    <w:rsid w:val="4B143967"/>
    <w:rsid w:val="4B157580"/>
    <w:rsid w:val="4B1C6700"/>
    <w:rsid w:val="4B621F2C"/>
    <w:rsid w:val="4B667DDC"/>
    <w:rsid w:val="4B6C1D7F"/>
    <w:rsid w:val="4BAB4546"/>
    <w:rsid w:val="4BB273F0"/>
    <w:rsid w:val="4BF47284"/>
    <w:rsid w:val="4BF7540E"/>
    <w:rsid w:val="4C1439C2"/>
    <w:rsid w:val="4C2061DD"/>
    <w:rsid w:val="4C4A0649"/>
    <w:rsid w:val="4C58549D"/>
    <w:rsid w:val="4C7E5ECA"/>
    <w:rsid w:val="4C8147A2"/>
    <w:rsid w:val="4C876AA5"/>
    <w:rsid w:val="4C9D5A7F"/>
    <w:rsid w:val="4CA54934"/>
    <w:rsid w:val="4CC454EC"/>
    <w:rsid w:val="4CF1268D"/>
    <w:rsid w:val="4CFE5DF2"/>
    <w:rsid w:val="4D040934"/>
    <w:rsid w:val="4D0E00FB"/>
    <w:rsid w:val="4D176606"/>
    <w:rsid w:val="4D4D12C8"/>
    <w:rsid w:val="4D6E6AAF"/>
    <w:rsid w:val="4D7660EF"/>
    <w:rsid w:val="4D930C30"/>
    <w:rsid w:val="4D9F33DB"/>
    <w:rsid w:val="4DDA23BB"/>
    <w:rsid w:val="4DEC4FB0"/>
    <w:rsid w:val="4E075D8A"/>
    <w:rsid w:val="4E0B6A19"/>
    <w:rsid w:val="4E3355B1"/>
    <w:rsid w:val="4EC00FAD"/>
    <w:rsid w:val="4EF5557C"/>
    <w:rsid w:val="4F5F2ED9"/>
    <w:rsid w:val="4F9843DC"/>
    <w:rsid w:val="4FC62A8C"/>
    <w:rsid w:val="4FE20F0D"/>
    <w:rsid w:val="4FE51552"/>
    <w:rsid w:val="50242014"/>
    <w:rsid w:val="50504C4B"/>
    <w:rsid w:val="50666188"/>
    <w:rsid w:val="507A1C34"/>
    <w:rsid w:val="509C6E7C"/>
    <w:rsid w:val="50BB0F4B"/>
    <w:rsid w:val="50BE78AD"/>
    <w:rsid w:val="50D40634"/>
    <w:rsid w:val="513C510C"/>
    <w:rsid w:val="5162104E"/>
    <w:rsid w:val="5162265C"/>
    <w:rsid w:val="516C17F1"/>
    <w:rsid w:val="5196484B"/>
    <w:rsid w:val="51AD6837"/>
    <w:rsid w:val="51B22A66"/>
    <w:rsid w:val="51C06D57"/>
    <w:rsid w:val="51C901A3"/>
    <w:rsid w:val="51FC4FF6"/>
    <w:rsid w:val="52605458"/>
    <w:rsid w:val="52681842"/>
    <w:rsid w:val="52691F60"/>
    <w:rsid w:val="52B376EB"/>
    <w:rsid w:val="52D5782C"/>
    <w:rsid w:val="52DA72BF"/>
    <w:rsid w:val="52E24A76"/>
    <w:rsid w:val="52E87329"/>
    <w:rsid w:val="530B28C8"/>
    <w:rsid w:val="532C52C8"/>
    <w:rsid w:val="53362D48"/>
    <w:rsid w:val="534F7A29"/>
    <w:rsid w:val="535844AE"/>
    <w:rsid w:val="535B176B"/>
    <w:rsid w:val="53642E53"/>
    <w:rsid w:val="536665A1"/>
    <w:rsid w:val="538C5F06"/>
    <w:rsid w:val="53A039CC"/>
    <w:rsid w:val="53A1505A"/>
    <w:rsid w:val="53B51901"/>
    <w:rsid w:val="53B90E5D"/>
    <w:rsid w:val="53CB2ED2"/>
    <w:rsid w:val="53E75832"/>
    <w:rsid w:val="54047407"/>
    <w:rsid w:val="54063E08"/>
    <w:rsid w:val="54071A30"/>
    <w:rsid w:val="541D70EC"/>
    <w:rsid w:val="543437E8"/>
    <w:rsid w:val="544D531B"/>
    <w:rsid w:val="54596730"/>
    <w:rsid w:val="545F186C"/>
    <w:rsid w:val="546A5B11"/>
    <w:rsid w:val="546A5C8C"/>
    <w:rsid w:val="54946143"/>
    <w:rsid w:val="549E2395"/>
    <w:rsid w:val="54A9790A"/>
    <w:rsid w:val="54D9517B"/>
    <w:rsid w:val="54DC4539"/>
    <w:rsid w:val="54EE24E8"/>
    <w:rsid w:val="54F73313"/>
    <w:rsid w:val="54F80955"/>
    <w:rsid w:val="55093F37"/>
    <w:rsid w:val="5514321F"/>
    <w:rsid w:val="551C2588"/>
    <w:rsid w:val="554172A8"/>
    <w:rsid w:val="555170A7"/>
    <w:rsid w:val="5552317F"/>
    <w:rsid w:val="55540CA5"/>
    <w:rsid w:val="555B2034"/>
    <w:rsid w:val="555F6A99"/>
    <w:rsid w:val="55677F48"/>
    <w:rsid w:val="5587536D"/>
    <w:rsid w:val="559B174B"/>
    <w:rsid w:val="55A51501"/>
    <w:rsid w:val="55CA3B75"/>
    <w:rsid w:val="55CE0CF4"/>
    <w:rsid w:val="55F478AC"/>
    <w:rsid w:val="56721323"/>
    <w:rsid w:val="568C0876"/>
    <w:rsid w:val="569972B8"/>
    <w:rsid w:val="569D042A"/>
    <w:rsid w:val="569D7AB8"/>
    <w:rsid w:val="56B22A9C"/>
    <w:rsid w:val="56DE6DDB"/>
    <w:rsid w:val="573963A5"/>
    <w:rsid w:val="57642BC7"/>
    <w:rsid w:val="579E2080"/>
    <w:rsid w:val="57B72A76"/>
    <w:rsid w:val="57BB1253"/>
    <w:rsid w:val="57C3426C"/>
    <w:rsid w:val="57CA1294"/>
    <w:rsid w:val="57CE1F93"/>
    <w:rsid w:val="58157A78"/>
    <w:rsid w:val="58344D16"/>
    <w:rsid w:val="58417C07"/>
    <w:rsid w:val="5870229A"/>
    <w:rsid w:val="58804593"/>
    <w:rsid w:val="588743D1"/>
    <w:rsid w:val="5887701A"/>
    <w:rsid w:val="588875E4"/>
    <w:rsid w:val="58907103"/>
    <w:rsid w:val="59121E1B"/>
    <w:rsid w:val="59352B9C"/>
    <w:rsid w:val="597E09E7"/>
    <w:rsid w:val="597F6AFE"/>
    <w:rsid w:val="59946F61"/>
    <w:rsid w:val="59C0439F"/>
    <w:rsid w:val="59E00D5A"/>
    <w:rsid w:val="5A33357F"/>
    <w:rsid w:val="5A5C60FA"/>
    <w:rsid w:val="5A7F3CF8"/>
    <w:rsid w:val="5A84657D"/>
    <w:rsid w:val="5ABC6740"/>
    <w:rsid w:val="5ABD320F"/>
    <w:rsid w:val="5ABE2233"/>
    <w:rsid w:val="5AC661A1"/>
    <w:rsid w:val="5B2630E4"/>
    <w:rsid w:val="5B5639C9"/>
    <w:rsid w:val="5B907600"/>
    <w:rsid w:val="5BA45289"/>
    <w:rsid w:val="5BC343FB"/>
    <w:rsid w:val="5BC8419B"/>
    <w:rsid w:val="5BDF5D95"/>
    <w:rsid w:val="5BFE7528"/>
    <w:rsid w:val="5C0276AD"/>
    <w:rsid w:val="5C2F7D76"/>
    <w:rsid w:val="5C3E7FB9"/>
    <w:rsid w:val="5C567DFB"/>
    <w:rsid w:val="5C646180"/>
    <w:rsid w:val="5C6739B4"/>
    <w:rsid w:val="5C6B1031"/>
    <w:rsid w:val="5C743E1E"/>
    <w:rsid w:val="5CAC13C7"/>
    <w:rsid w:val="5CB564CD"/>
    <w:rsid w:val="5CBD748C"/>
    <w:rsid w:val="5CCC33F6"/>
    <w:rsid w:val="5D215911"/>
    <w:rsid w:val="5DA82901"/>
    <w:rsid w:val="5DAD64FC"/>
    <w:rsid w:val="5DDE1A54"/>
    <w:rsid w:val="5E135BA1"/>
    <w:rsid w:val="5E1F04E2"/>
    <w:rsid w:val="5E2002BE"/>
    <w:rsid w:val="5E2467F1"/>
    <w:rsid w:val="5E2E29DB"/>
    <w:rsid w:val="5E361890"/>
    <w:rsid w:val="5F106403"/>
    <w:rsid w:val="5F1A2B43"/>
    <w:rsid w:val="5F2D401F"/>
    <w:rsid w:val="5F687A01"/>
    <w:rsid w:val="5F7169DD"/>
    <w:rsid w:val="5F7D5A4F"/>
    <w:rsid w:val="5FA82319"/>
    <w:rsid w:val="5FB837BB"/>
    <w:rsid w:val="5FC05847"/>
    <w:rsid w:val="5FEF7F48"/>
    <w:rsid w:val="5FF11CD3"/>
    <w:rsid w:val="60146B05"/>
    <w:rsid w:val="60161979"/>
    <w:rsid w:val="60634492"/>
    <w:rsid w:val="60760DBD"/>
    <w:rsid w:val="60807BFF"/>
    <w:rsid w:val="608B165E"/>
    <w:rsid w:val="60A2320D"/>
    <w:rsid w:val="60A32AE1"/>
    <w:rsid w:val="60AB02A2"/>
    <w:rsid w:val="60CB72B9"/>
    <w:rsid w:val="60CC405A"/>
    <w:rsid w:val="61292E6A"/>
    <w:rsid w:val="616A1AA2"/>
    <w:rsid w:val="61B002EA"/>
    <w:rsid w:val="61BA27D8"/>
    <w:rsid w:val="61E215D8"/>
    <w:rsid w:val="621B3775"/>
    <w:rsid w:val="62257C51"/>
    <w:rsid w:val="622A5268"/>
    <w:rsid w:val="62364782"/>
    <w:rsid w:val="62746527"/>
    <w:rsid w:val="62944DD7"/>
    <w:rsid w:val="62A82630"/>
    <w:rsid w:val="62CA4EFD"/>
    <w:rsid w:val="62F615EE"/>
    <w:rsid w:val="631849D2"/>
    <w:rsid w:val="631877B6"/>
    <w:rsid w:val="632443AD"/>
    <w:rsid w:val="63285608"/>
    <w:rsid w:val="634052A2"/>
    <w:rsid w:val="63514A76"/>
    <w:rsid w:val="636F7E79"/>
    <w:rsid w:val="63911317"/>
    <w:rsid w:val="6394356A"/>
    <w:rsid w:val="63AE3C76"/>
    <w:rsid w:val="63B55005"/>
    <w:rsid w:val="63C61B2C"/>
    <w:rsid w:val="63D40BE9"/>
    <w:rsid w:val="64025D70"/>
    <w:rsid w:val="64102431"/>
    <w:rsid w:val="64202DC6"/>
    <w:rsid w:val="643A79E8"/>
    <w:rsid w:val="643B6113"/>
    <w:rsid w:val="644B458C"/>
    <w:rsid w:val="647A1DAB"/>
    <w:rsid w:val="64852C29"/>
    <w:rsid w:val="64A21A2D"/>
    <w:rsid w:val="64A5243A"/>
    <w:rsid w:val="64F531DE"/>
    <w:rsid w:val="650E70C3"/>
    <w:rsid w:val="65222B6E"/>
    <w:rsid w:val="65241792"/>
    <w:rsid w:val="653044FF"/>
    <w:rsid w:val="65373578"/>
    <w:rsid w:val="65387C9C"/>
    <w:rsid w:val="6549634D"/>
    <w:rsid w:val="655D7052"/>
    <w:rsid w:val="6562346E"/>
    <w:rsid w:val="65672F85"/>
    <w:rsid w:val="657F58CB"/>
    <w:rsid w:val="658C1AE0"/>
    <w:rsid w:val="659B5C5B"/>
    <w:rsid w:val="65C326F9"/>
    <w:rsid w:val="65C905F2"/>
    <w:rsid w:val="65C9123C"/>
    <w:rsid w:val="6607271F"/>
    <w:rsid w:val="666B7686"/>
    <w:rsid w:val="6672542F"/>
    <w:rsid w:val="66A15D14"/>
    <w:rsid w:val="671B5AC7"/>
    <w:rsid w:val="671F124A"/>
    <w:rsid w:val="674B5925"/>
    <w:rsid w:val="677A33C6"/>
    <w:rsid w:val="678252FB"/>
    <w:rsid w:val="67853987"/>
    <w:rsid w:val="67951EA6"/>
    <w:rsid w:val="681F6961"/>
    <w:rsid w:val="6841330B"/>
    <w:rsid w:val="68610A2F"/>
    <w:rsid w:val="686457A3"/>
    <w:rsid w:val="686D2352"/>
    <w:rsid w:val="68805514"/>
    <w:rsid w:val="68945A30"/>
    <w:rsid w:val="68A962E9"/>
    <w:rsid w:val="68CB7079"/>
    <w:rsid w:val="68DC734A"/>
    <w:rsid w:val="68F86116"/>
    <w:rsid w:val="690C653C"/>
    <w:rsid w:val="69127828"/>
    <w:rsid w:val="69170E6C"/>
    <w:rsid w:val="69316E2F"/>
    <w:rsid w:val="6942558D"/>
    <w:rsid w:val="694A5B03"/>
    <w:rsid w:val="694B27E6"/>
    <w:rsid w:val="694E2071"/>
    <w:rsid w:val="69766163"/>
    <w:rsid w:val="697A3B33"/>
    <w:rsid w:val="69CC12FA"/>
    <w:rsid w:val="69D44760"/>
    <w:rsid w:val="6A1B5141"/>
    <w:rsid w:val="6A242EE4"/>
    <w:rsid w:val="6A3D3FA6"/>
    <w:rsid w:val="6A520EC7"/>
    <w:rsid w:val="6A55630A"/>
    <w:rsid w:val="6A6A179F"/>
    <w:rsid w:val="6A892D47"/>
    <w:rsid w:val="6AD75E94"/>
    <w:rsid w:val="6AF20834"/>
    <w:rsid w:val="6AF87E20"/>
    <w:rsid w:val="6B322639"/>
    <w:rsid w:val="6B3B1CE8"/>
    <w:rsid w:val="6B465348"/>
    <w:rsid w:val="6B592A8E"/>
    <w:rsid w:val="6B671F53"/>
    <w:rsid w:val="6B8F25DF"/>
    <w:rsid w:val="6BA936A1"/>
    <w:rsid w:val="6C0E5BFA"/>
    <w:rsid w:val="6C624FB9"/>
    <w:rsid w:val="6C636C38"/>
    <w:rsid w:val="6C6B4B24"/>
    <w:rsid w:val="6CD5531A"/>
    <w:rsid w:val="6CF50836"/>
    <w:rsid w:val="6CF54B44"/>
    <w:rsid w:val="6CFA1CDB"/>
    <w:rsid w:val="6D0B14CF"/>
    <w:rsid w:val="6D142D9C"/>
    <w:rsid w:val="6D164606"/>
    <w:rsid w:val="6D4B09BD"/>
    <w:rsid w:val="6D5D656E"/>
    <w:rsid w:val="6D68758C"/>
    <w:rsid w:val="6D946ECB"/>
    <w:rsid w:val="6D96027F"/>
    <w:rsid w:val="6DA66ABE"/>
    <w:rsid w:val="6DB34098"/>
    <w:rsid w:val="6DB545B6"/>
    <w:rsid w:val="6DD6354E"/>
    <w:rsid w:val="6DDD7632"/>
    <w:rsid w:val="6DDE33AA"/>
    <w:rsid w:val="6DE02FB4"/>
    <w:rsid w:val="6E113780"/>
    <w:rsid w:val="6E514CED"/>
    <w:rsid w:val="6E6740C3"/>
    <w:rsid w:val="6E763967"/>
    <w:rsid w:val="6E883E3C"/>
    <w:rsid w:val="6E8872BD"/>
    <w:rsid w:val="6EA34C0D"/>
    <w:rsid w:val="6EA746DE"/>
    <w:rsid w:val="6EB00989"/>
    <w:rsid w:val="6EB563D5"/>
    <w:rsid w:val="6ED92677"/>
    <w:rsid w:val="6EF07839"/>
    <w:rsid w:val="6F21513B"/>
    <w:rsid w:val="6F225983"/>
    <w:rsid w:val="6F2B776F"/>
    <w:rsid w:val="6F2C1224"/>
    <w:rsid w:val="6F35524C"/>
    <w:rsid w:val="6F373677"/>
    <w:rsid w:val="6F515A27"/>
    <w:rsid w:val="6F5A4CB2"/>
    <w:rsid w:val="6F8714CD"/>
    <w:rsid w:val="6FB6638D"/>
    <w:rsid w:val="6FB90EEA"/>
    <w:rsid w:val="6FED626A"/>
    <w:rsid w:val="6FFC5590"/>
    <w:rsid w:val="70115CB9"/>
    <w:rsid w:val="7040554F"/>
    <w:rsid w:val="70512559"/>
    <w:rsid w:val="706D1DD0"/>
    <w:rsid w:val="70837D9B"/>
    <w:rsid w:val="70856B87"/>
    <w:rsid w:val="70C1148D"/>
    <w:rsid w:val="70D527EE"/>
    <w:rsid w:val="70E83937"/>
    <w:rsid w:val="70EC1C35"/>
    <w:rsid w:val="710720A5"/>
    <w:rsid w:val="715B5300"/>
    <w:rsid w:val="71922E29"/>
    <w:rsid w:val="719D2534"/>
    <w:rsid w:val="71B608C6"/>
    <w:rsid w:val="71D27F8A"/>
    <w:rsid w:val="71FF4FB4"/>
    <w:rsid w:val="72553024"/>
    <w:rsid w:val="725B321B"/>
    <w:rsid w:val="7273263B"/>
    <w:rsid w:val="727A7B45"/>
    <w:rsid w:val="727B38BE"/>
    <w:rsid w:val="72921A0A"/>
    <w:rsid w:val="72924D40"/>
    <w:rsid w:val="729E5DF6"/>
    <w:rsid w:val="72B94560"/>
    <w:rsid w:val="73122968"/>
    <w:rsid w:val="731F5D5E"/>
    <w:rsid w:val="735E3158"/>
    <w:rsid w:val="7366631C"/>
    <w:rsid w:val="73703692"/>
    <w:rsid w:val="73743F33"/>
    <w:rsid w:val="73813156"/>
    <w:rsid w:val="73955506"/>
    <w:rsid w:val="739761DE"/>
    <w:rsid w:val="73C51AD5"/>
    <w:rsid w:val="73DA78F6"/>
    <w:rsid w:val="73DC0680"/>
    <w:rsid w:val="74062323"/>
    <w:rsid w:val="741305BB"/>
    <w:rsid w:val="741E793C"/>
    <w:rsid w:val="745E3944"/>
    <w:rsid w:val="74D06143"/>
    <w:rsid w:val="74D50CA0"/>
    <w:rsid w:val="74E61BA3"/>
    <w:rsid w:val="74E74B09"/>
    <w:rsid w:val="74E97204"/>
    <w:rsid w:val="751A2462"/>
    <w:rsid w:val="75265930"/>
    <w:rsid w:val="75283611"/>
    <w:rsid w:val="752B38BC"/>
    <w:rsid w:val="75362269"/>
    <w:rsid w:val="75511869"/>
    <w:rsid w:val="75646A1E"/>
    <w:rsid w:val="757515D3"/>
    <w:rsid w:val="75A66198"/>
    <w:rsid w:val="75B50E95"/>
    <w:rsid w:val="75B643DF"/>
    <w:rsid w:val="75C64E50"/>
    <w:rsid w:val="76164029"/>
    <w:rsid w:val="762878B8"/>
    <w:rsid w:val="7635099D"/>
    <w:rsid w:val="763C5DB4"/>
    <w:rsid w:val="76515061"/>
    <w:rsid w:val="766A1C7F"/>
    <w:rsid w:val="769B452E"/>
    <w:rsid w:val="76A61664"/>
    <w:rsid w:val="76DF30F6"/>
    <w:rsid w:val="76EC08E6"/>
    <w:rsid w:val="77147E3D"/>
    <w:rsid w:val="77186FDE"/>
    <w:rsid w:val="77242776"/>
    <w:rsid w:val="772A6B6C"/>
    <w:rsid w:val="77495D38"/>
    <w:rsid w:val="77762421"/>
    <w:rsid w:val="778A38E9"/>
    <w:rsid w:val="778B33D6"/>
    <w:rsid w:val="77B56B1F"/>
    <w:rsid w:val="77D409AA"/>
    <w:rsid w:val="77F53704"/>
    <w:rsid w:val="780F09F4"/>
    <w:rsid w:val="7827252A"/>
    <w:rsid w:val="788E1C98"/>
    <w:rsid w:val="7892370F"/>
    <w:rsid w:val="78A0407E"/>
    <w:rsid w:val="78A90480"/>
    <w:rsid w:val="78C23FF4"/>
    <w:rsid w:val="78EE2AED"/>
    <w:rsid w:val="78EE6A17"/>
    <w:rsid w:val="7909605B"/>
    <w:rsid w:val="795445DD"/>
    <w:rsid w:val="79A80D59"/>
    <w:rsid w:val="79D42231"/>
    <w:rsid w:val="79D71005"/>
    <w:rsid w:val="79EB1329"/>
    <w:rsid w:val="7A067F11"/>
    <w:rsid w:val="7A364017"/>
    <w:rsid w:val="7A8265E1"/>
    <w:rsid w:val="7A8D4F5D"/>
    <w:rsid w:val="7AB20098"/>
    <w:rsid w:val="7AFE4D0F"/>
    <w:rsid w:val="7B114F51"/>
    <w:rsid w:val="7B274D9E"/>
    <w:rsid w:val="7B4D16C2"/>
    <w:rsid w:val="7B686D42"/>
    <w:rsid w:val="7B7315D6"/>
    <w:rsid w:val="7B841746"/>
    <w:rsid w:val="7B9410AA"/>
    <w:rsid w:val="7BB91FF8"/>
    <w:rsid w:val="7BBD0AA3"/>
    <w:rsid w:val="7BD06A28"/>
    <w:rsid w:val="7BD5377D"/>
    <w:rsid w:val="7BD55A85"/>
    <w:rsid w:val="7BDF6100"/>
    <w:rsid w:val="7C0268E7"/>
    <w:rsid w:val="7C1B46DC"/>
    <w:rsid w:val="7C3853E5"/>
    <w:rsid w:val="7C464F3C"/>
    <w:rsid w:val="7C590DAE"/>
    <w:rsid w:val="7C6C5AC7"/>
    <w:rsid w:val="7C6F6241"/>
    <w:rsid w:val="7C8810B1"/>
    <w:rsid w:val="7C920181"/>
    <w:rsid w:val="7CBB5F68"/>
    <w:rsid w:val="7CC6544B"/>
    <w:rsid w:val="7D0239FF"/>
    <w:rsid w:val="7D0F17D2"/>
    <w:rsid w:val="7D3B4C45"/>
    <w:rsid w:val="7D5E40CD"/>
    <w:rsid w:val="7DCD56F2"/>
    <w:rsid w:val="7DD60DF4"/>
    <w:rsid w:val="7DD752E5"/>
    <w:rsid w:val="7DED1B13"/>
    <w:rsid w:val="7E0A0A23"/>
    <w:rsid w:val="7E1162DD"/>
    <w:rsid w:val="7E1A3F8B"/>
    <w:rsid w:val="7E4534BC"/>
    <w:rsid w:val="7E994E83"/>
    <w:rsid w:val="7ED607F9"/>
    <w:rsid w:val="7F001CE7"/>
    <w:rsid w:val="7F032C71"/>
    <w:rsid w:val="7F200254"/>
    <w:rsid w:val="7F275383"/>
    <w:rsid w:val="7F5259A6"/>
    <w:rsid w:val="7F7D2A23"/>
    <w:rsid w:val="7FC84175"/>
    <w:rsid w:val="7FD22A54"/>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99"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qFormat="1"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qFormat="1" w:unhideWhenUsed="0" w:uiPriority="99"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99"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iPriority="99"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qFormat/>
    <w:locked/>
    <w:uiPriority w:val="0"/>
    <w:pPr>
      <w:keepNext/>
      <w:keepLines/>
      <w:spacing w:before="260" w:beforeLines="0" w:after="260" w:afterLines="0" w:line="415" w:lineRule="auto"/>
      <w:outlineLvl w:val="1"/>
    </w:pPr>
    <w:rPr>
      <w:rFonts w:ascii="Arial" w:hAnsi="Arial" w:eastAsia="黑体"/>
      <w:b/>
      <w:bCs/>
      <w:sz w:val="32"/>
      <w:szCs w:val="32"/>
    </w:rPr>
  </w:style>
  <w:style w:type="paragraph" w:styleId="7">
    <w:name w:val="heading 3"/>
    <w:basedOn w:val="1"/>
    <w:next w:val="1"/>
    <w:semiHidden/>
    <w:unhideWhenUsed/>
    <w:qFormat/>
    <w:locked/>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8">
    <w:name w:val="heading 4"/>
    <w:basedOn w:val="1"/>
    <w:next w:val="1"/>
    <w:qFormat/>
    <w:locked/>
    <w:uiPriority w:val="0"/>
    <w:pPr>
      <w:keepNext/>
      <w:keepLines/>
      <w:spacing w:before="280" w:after="290" w:line="376" w:lineRule="auto"/>
      <w:outlineLvl w:val="3"/>
    </w:pPr>
    <w:rPr>
      <w:rFonts w:ascii="Arial" w:hAnsi="Arial" w:eastAsia="黑体"/>
      <w:b/>
      <w:bCs/>
      <w:sz w:val="28"/>
      <w:szCs w:val="28"/>
    </w:rPr>
  </w:style>
  <w:style w:type="character" w:default="1" w:styleId="37">
    <w:name w:val="Default Paragraph Font"/>
    <w:semiHidden/>
    <w:unhideWhenUsed/>
    <w:qFormat/>
    <w:uiPriority w:val="1"/>
  </w:style>
  <w:style w:type="table" w:default="1" w:styleId="35">
    <w:name w:val="Normal Table"/>
    <w:semiHidden/>
    <w:unhideWhenUsed/>
    <w:qFormat/>
    <w:uiPriority w:val="99"/>
    <w:tblPr>
      <w:tblCellMar>
        <w:top w:w="0" w:type="dxa"/>
        <w:left w:w="108" w:type="dxa"/>
        <w:bottom w:w="0" w:type="dxa"/>
        <w:right w:w="108" w:type="dxa"/>
      </w:tblCellMar>
    </w:tblPr>
  </w:style>
  <w:style w:type="paragraph" w:customStyle="1" w:styleId="2">
    <w:name w:val="Default"/>
    <w:basedOn w:val="3"/>
    <w:next w:val="4"/>
    <w:qFormat/>
    <w:uiPriority w:val="0"/>
    <w:pPr>
      <w:widowControl w:val="0"/>
      <w:autoSpaceDE w:val="0"/>
      <w:autoSpaceDN w:val="0"/>
      <w:adjustRightInd w:val="0"/>
      <w:spacing w:after="200" w:line="276" w:lineRule="auto"/>
    </w:pPr>
    <w:rPr>
      <w:rFonts w:ascii="宋体" w:hAnsi="Calibri" w:eastAsia="宋体" w:cs="宋体"/>
      <w:color w:val="000000"/>
      <w:sz w:val="24"/>
      <w:szCs w:val="24"/>
      <w:lang w:val="en-US" w:eastAsia="zh-CN" w:bidi="ar-SA"/>
    </w:rPr>
  </w:style>
  <w:style w:type="paragraph" w:customStyle="1" w:styleId="3">
    <w:name w:val="纯文本1"/>
    <w:basedOn w:val="1"/>
    <w:qFormat/>
    <w:uiPriority w:val="0"/>
    <w:pPr>
      <w:adjustRightInd w:val="0"/>
    </w:pPr>
    <w:rPr>
      <w:rFonts w:ascii="宋体" w:hAnsi="Courier New"/>
      <w:szCs w:val="20"/>
    </w:rPr>
  </w:style>
  <w:style w:type="paragraph" w:styleId="4">
    <w:name w:val="Body Text 2"/>
    <w:basedOn w:val="1"/>
    <w:qFormat/>
    <w:locked/>
    <w:uiPriority w:val="0"/>
    <w:pPr>
      <w:spacing w:after="120" w:line="480" w:lineRule="auto"/>
    </w:pPr>
  </w:style>
  <w:style w:type="paragraph" w:styleId="9">
    <w:name w:val="Normal Indent"/>
    <w:basedOn w:val="1"/>
    <w:next w:val="10"/>
    <w:qFormat/>
    <w:locked/>
    <w:uiPriority w:val="0"/>
    <w:pPr>
      <w:ind w:firstLine="420" w:firstLineChars="200"/>
    </w:pPr>
  </w:style>
  <w:style w:type="paragraph" w:styleId="10">
    <w:name w:val="Body Text First Indent 2"/>
    <w:basedOn w:val="11"/>
    <w:next w:val="1"/>
    <w:qFormat/>
    <w:locked/>
    <w:uiPriority w:val="0"/>
    <w:pPr>
      <w:ind w:firstLine="420"/>
    </w:pPr>
    <w:rPr>
      <w:kern w:val="2"/>
      <w:sz w:val="21"/>
      <w:szCs w:val="24"/>
    </w:rPr>
  </w:style>
  <w:style w:type="paragraph" w:styleId="11">
    <w:name w:val="Body Text Indent"/>
    <w:basedOn w:val="1"/>
    <w:next w:val="10"/>
    <w:link w:val="55"/>
    <w:qFormat/>
    <w:uiPriority w:val="0"/>
    <w:pPr>
      <w:spacing w:after="120"/>
      <w:ind w:left="420" w:leftChars="200"/>
    </w:pPr>
    <w:rPr>
      <w:kern w:val="0"/>
      <w:sz w:val="24"/>
      <w:szCs w:val="20"/>
    </w:rPr>
  </w:style>
  <w:style w:type="paragraph" w:styleId="12">
    <w:name w:val="caption"/>
    <w:basedOn w:val="1"/>
    <w:next w:val="1"/>
    <w:qFormat/>
    <w:locked/>
    <w:uiPriority w:val="0"/>
    <w:pPr>
      <w:jc w:val="center"/>
    </w:pPr>
    <w:rPr>
      <w:rFonts w:eastAsia="黑体"/>
      <w:szCs w:val="21"/>
    </w:rPr>
  </w:style>
  <w:style w:type="paragraph" w:styleId="13">
    <w:name w:val="index 5"/>
    <w:basedOn w:val="1"/>
    <w:next w:val="1"/>
    <w:qFormat/>
    <w:locked/>
    <w:uiPriority w:val="0"/>
    <w:pPr>
      <w:ind w:left="1680"/>
    </w:pPr>
  </w:style>
  <w:style w:type="paragraph" w:styleId="14">
    <w:name w:val="annotation text"/>
    <w:basedOn w:val="1"/>
    <w:link w:val="54"/>
    <w:semiHidden/>
    <w:qFormat/>
    <w:uiPriority w:val="0"/>
    <w:pPr>
      <w:jc w:val="left"/>
    </w:pPr>
    <w:rPr>
      <w:kern w:val="0"/>
      <w:sz w:val="24"/>
      <w:szCs w:val="20"/>
    </w:rPr>
  </w:style>
  <w:style w:type="paragraph" w:styleId="15">
    <w:name w:val="Body Text"/>
    <w:basedOn w:val="1"/>
    <w:next w:val="16"/>
    <w:link w:val="52"/>
    <w:qFormat/>
    <w:uiPriority w:val="0"/>
    <w:pPr>
      <w:widowControl/>
      <w:snapToGrid w:val="0"/>
      <w:spacing w:before="60" w:after="160" w:line="259" w:lineRule="auto"/>
      <w:ind w:right="113"/>
    </w:pPr>
    <w:rPr>
      <w:kern w:val="0"/>
      <w:sz w:val="18"/>
      <w:szCs w:val="20"/>
    </w:rPr>
  </w:style>
  <w:style w:type="paragraph" w:styleId="16">
    <w:name w:val="List Bullet 5"/>
    <w:basedOn w:val="1"/>
    <w:qFormat/>
    <w:locked/>
    <w:uiPriority w:val="0"/>
    <w:pPr>
      <w:numPr>
        <w:ilvl w:val="0"/>
        <w:numId w:val="1"/>
      </w:numPr>
    </w:pPr>
  </w:style>
  <w:style w:type="paragraph" w:styleId="17">
    <w:name w:val="Plain Text"/>
    <w:basedOn w:val="1"/>
    <w:qFormat/>
    <w:locked/>
    <w:uiPriority w:val="0"/>
    <w:rPr>
      <w:rFonts w:ascii="宋体" w:hAnsi="Courier New"/>
    </w:rPr>
  </w:style>
  <w:style w:type="paragraph" w:styleId="18">
    <w:name w:val="Date"/>
    <w:basedOn w:val="1"/>
    <w:next w:val="1"/>
    <w:link w:val="61"/>
    <w:qFormat/>
    <w:uiPriority w:val="0"/>
    <w:pPr>
      <w:ind w:left="100" w:leftChars="2500"/>
    </w:pPr>
    <w:rPr>
      <w:kern w:val="0"/>
      <w:sz w:val="24"/>
      <w:szCs w:val="20"/>
    </w:rPr>
  </w:style>
  <w:style w:type="paragraph" w:styleId="19">
    <w:name w:val="Balloon Text"/>
    <w:basedOn w:val="1"/>
    <w:link w:val="60"/>
    <w:semiHidden/>
    <w:qFormat/>
    <w:uiPriority w:val="0"/>
    <w:rPr>
      <w:kern w:val="0"/>
      <w:sz w:val="18"/>
      <w:szCs w:val="20"/>
    </w:rPr>
  </w:style>
  <w:style w:type="paragraph" w:styleId="20">
    <w:name w:val="footer"/>
    <w:basedOn w:val="1"/>
    <w:link w:val="57"/>
    <w:qFormat/>
    <w:uiPriority w:val="99"/>
    <w:pPr>
      <w:tabs>
        <w:tab w:val="center" w:pos="4153"/>
        <w:tab w:val="right" w:pos="8306"/>
      </w:tabs>
      <w:snapToGrid w:val="0"/>
      <w:jc w:val="left"/>
    </w:pPr>
    <w:rPr>
      <w:kern w:val="0"/>
      <w:sz w:val="18"/>
      <w:szCs w:val="20"/>
    </w:rPr>
  </w:style>
  <w:style w:type="paragraph" w:styleId="21">
    <w:name w:val="header"/>
    <w:basedOn w:val="1"/>
    <w:next w:val="22"/>
    <w:link w:val="50"/>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22">
    <w:name w:val="样式5"/>
    <w:basedOn w:val="23"/>
    <w:qFormat/>
    <w:uiPriority w:val="0"/>
    <w:pPr>
      <w:spacing w:line="360" w:lineRule="auto"/>
      <w:ind w:firstLine="510"/>
    </w:pPr>
  </w:style>
  <w:style w:type="paragraph" w:customStyle="1" w:styleId="23">
    <w:name w:val="正文1"/>
    <w:basedOn w:val="1"/>
    <w:semiHidden/>
    <w:qFormat/>
    <w:uiPriority w:val="0"/>
    <w:pPr>
      <w:widowControl w:val="0"/>
      <w:adjustRightInd w:val="0"/>
      <w:snapToGrid w:val="0"/>
      <w:spacing w:line="360" w:lineRule="auto"/>
    </w:pPr>
    <w:rPr>
      <w:kern w:val="0"/>
      <w:sz w:val="28"/>
      <w:szCs w:val="32"/>
    </w:rPr>
  </w:style>
  <w:style w:type="paragraph" w:styleId="24">
    <w:name w:val="toc 1"/>
    <w:basedOn w:val="1"/>
    <w:next w:val="1"/>
    <w:qFormat/>
    <w:locked/>
    <w:uiPriority w:val="0"/>
  </w:style>
  <w:style w:type="paragraph" w:styleId="25">
    <w:name w:val="index heading"/>
    <w:basedOn w:val="1"/>
    <w:next w:val="26"/>
    <w:qFormat/>
    <w:locked/>
    <w:uiPriority w:val="99"/>
    <w:rPr>
      <w:rFonts w:ascii="Arial" w:hAnsi="Arial"/>
      <w:b/>
    </w:rPr>
  </w:style>
  <w:style w:type="paragraph" w:styleId="26">
    <w:name w:val="index 1"/>
    <w:basedOn w:val="1"/>
    <w:next w:val="1"/>
    <w:qFormat/>
    <w:locked/>
    <w:uiPriority w:val="99"/>
  </w:style>
  <w:style w:type="paragraph" w:styleId="27">
    <w:name w:val="Subtitle"/>
    <w:basedOn w:val="1"/>
    <w:next w:val="1"/>
    <w:qFormat/>
    <w:locked/>
    <w:uiPriority w:val="0"/>
    <w:pPr>
      <w:adjustRightInd w:val="0"/>
      <w:snapToGrid w:val="0"/>
      <w:jc w:val="center"/>
    </w:pPr>
    <w:rPr>
      <w:rFonts w:eastAsia="黑体"/>
      <w:bCs/>
      <w:snapToGrid w:val="0"/>
      <w:kern w:val="0"/>
      <w:sz w:val="24"/>
      <w:szCs w:val="32"/>
    </w:rPr>
  </w:style>
  <w:style w:type="paragraph" w:styleId="28">
    <w:name w:val="List"/>
    <w:basedOn w:val="1"/>
    <w:qFormat/>
    <w:locked/>
    <w:uiPriority w:val="0"/>
    <w:pPr>
      <w:ind w:left="200" w:hanging="200" w:hangingChars="200"/>
    </w:pPr>
  </w:style>
  <w:style w:type="paragraph" w:styleId="29">
    <w:name w:val="toc 2"/>
    <w:basedOn w:val="1"/>
    <w:next w:val="1"/>
    <w:qFormat/>
    <w:locked/>
    <w:uiPriority w:val="0"/>
    <w:pPr>
      <w:ind w:left="420" w:leftChars="200"/>
    </w:pPr>
  </w:style>
  <w:style w:type="paragraph" w:styleId="30">
    <w:name w:val="HTML Preformatted"/>
    <w:basedOn w:val="1"/>
    <w:qFormat/>
    <w:locked/>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31">
    <w:name w:val="Normal (Web)"/>
    <w:basedOn w:val="1"/>
    <w:link w:val="53"/>
    <w:qFormat/>
    <w:uiPriority w:val="0"/>
    <w:pPr>
      <w:widowControl/>
      <w:spacing w:before="100" w:beforeAutospacing="1" w:after="100" w:afterAutospacing="1"/>
      <w:jc w:val="left"/>
    </w:pPr>
    <w:rPr>
      <w:rFonts w:ascii="宋体" w:hAnsi="宋体"/>
      <w:kern w:val="0"/>
      <w:sz w:val="24"/>
      <w:szCs w:val="20"/>
    </w:rPr>
  </w:style>
  <w:style w:type="paragraph" w:styleId="32">
    <w:name w:val="Title"/>
    <w:basedOn w:val="1"/>
    <w:next w:val="1"/>
    <w:qFormat/>
    <w:locked/>
    <w:uiPriority w:val="99"/>
    <w:pPr>
      <w:spacing w:line="240" w:lineRule="auto"/>
      <w:jc w:val="center"/>
      <w:outlineLvl w:val="0"/>
    </w:pPr>
    <w:rPr>
      <w:b/>
      <w:bCs/>
      <w:szCs w:val="32"/>
    </w:rPr>
  </w:style>
  <w:style w:type="paragraph" w:styleId="33">
    <w:name w:val="annotation subject"/>
    <w:basedOn w:val="14"/>
    <w:next w:val="14"/>
    <w:link w:val="58"/>
    <w:semiHidden/>
    <w:qFormat/>
    <w:uiPriority w:val="0"/>
    <w:rPr>
      <w:b/>
    </w:rPr>
  </w:style>
  <w:style w:type="paragraph" w:styleId="34">
    <w:name w:val="Body Text First Indent"/>
    <w:basedOn w:val="1"/>
    <w:next w:val="1"/>
    <w:unhideWhenUsed/>
    <w:qFormat/>
    <w:locked/>
    <w:uiPriority w:val="99"/>
    <w:pPr>
      <w:ind w:firstLine="420" w:firstLineChars="100"/>
    </w:pPr>
  </w:style>
  <w:style w:type="table" w:styleId="36">
    <w:name w:val="Table Grid"/>
    <w:basedOn w:val="3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8">
    <w:name w:val="Strong"/>
    <w:basedOn w:val="37"/>
    <w:qFormat/>
    <w:locked/>
    <w:uiPriority w:val="0"/>
    <w:rPr>
      <w:b/>
    </w:rPr>
  </w:style>
  <w:style w:type="character" w:styleId="39">
    <w:name w:val="page number"/>
    <w:basedOn w:val="37"/>
    <w:qFormat/>
    <w:locked/>
    <w:uiPriority w:val="0"/>
  </w:style>
  <w:style w:type="character" w:styleId="40">
    <w:name w:val="Hyperlink"/>
    <w:basedOn w:val="37"/>
    <w:qFormat/>
    <w:locked/>
    <w:uiPriority w:val="0"/>
    <w:rPr>
      <w:color w:val="0000FF"/>
      <w:u w:val="single"/>
    </w:rPr>
  </w:style>
  <w:style w:type="character" w:styleId="41">
    <w:name w:val="annotation reference"/>
    <w:semiHidden/>
    <w:qFormat/>
    <w:uiPriority w:val="0"/>
    <w:rPr>
      <w:sz w:val="21"/>
    </w:rPr>
  </w:style>
  <w:style w:type="paragraph" w:customStyle="1" w:styleId="42">
    <w:name w:val="正文（缩进）"/>
    <w:basedOn w:val="43"/>
    <w:next w:val="1"/>
    <w:qFormat/>
    <w:uiPriority w:val="99"/>
    <w:pPr>
      <w:spacing w:line="360" w:lineRule="auto"/>
      <w:ind w:firstLine="480" w:firstLineChars="200"/>
    </w:pPr>
    <w:rPr>
      <w:sz w:val="24"/>
    </w:rPr>
  </w:style>
  <w:style w:type="paragraph" w:customStyle="1" w:styleId="43">
    <w:name w:val="正文(首行缩进)"/>
    <w:basedOn w:val="1"/>
    <w:qFormat/>
    <w:uiPriority w:val="0"/>
    <w:pPr>
      <w:spacing w:line="460" w:lineRule="exact"/>
      <w:ind w:firstLine="560" w:firstLineChars="200"/>
    </w:pPr>
    <w:rPr>
      <w:rFonts w:ascii="宋体" w:hAnsi="宋体"/>
      <w:snapToGrid w:val="0"/>
      <w:color w:val="000000"/>
      <w:kern w:val="0"/>
      <w:szCs w:val="24"/>
    </w:rPr>
  </w:style>
  <w:style w:type="paragraph" w:customStyle="1" w:styleId="44">
    <w:name w:val="Date1"/>
    <w:basedOn w:val="1"/>
    <w:next w:val="1"/>
    <w:qFormat/>
    <w:uiPriority w:val="0"/>
    <w:pPr>
      <w:adjustRightInd w:val="0"/>
      <w:jc w:val="left"/>
      <w:textAlignment w:val="baseline"/>
    </w:pPr>
    <w:rPr>
      <w:rFonts w:ascii="宋体" w:hAnsi="宋体"/>
      <w:sz w:val="28"/>
      <w:szCs w:val="20"/>
    </w:rPr>
  </w:style>
  <w:style w:type="paragraph" w:customStyle="1" w:styleId="45">
    <w:name w:val="表格"/>
    <w:basedOn w:val="9"/>
    <w:next w:val="1"/>
    <w:link w:val="56"/>
    <w:qFormat/>
    <w:uiPriority w:val="0"/>
    <w:pPr>
      <w:adjustRightInd w:val="0"/>
      <w:snapToGrid w:val="0"/>
      <w:spacing w:beforeLines="10" w:afterLines="10" w:line="259" w:lineRule="auto"/>
      <w:jc w:val="center"/>
    </w:pPr>
    <w:rPr>
      <w:rFonts w:ascii="宋体"/>
      <w:kern w:val="0"/>
      <w:szCs w:val="20"/>
    </w:rPr>
  </w:style>
  <w:style w:type="paragraph" w:customStyle="1" w:styleId="46">
    <w:name w:val="表头"/>
    <w:basedOn w:val="28"/>
    <w:next w:val="1"/>
    <w:qFormat/>
    <w:uiPriority w:val="0"/>
    <w:pPr>
      <w:snapToGrid w:val="0"/>
      <w:spacing w:before="60" w:beforeLines="25"/>
    </w:pPr>
    <w:rPr>
      <w:rFonts w:hAnsi="宋体" w:eastAsia="仿宋_GB2312"/>
      <w:b/>
      <w:sz w:val="28"/>
      <w:szCs w:val="28"/>
    </w:rPr>
  </w:style>
  <w:style w:type="paragraph" w:customStyle="1" w:styleId="47">
    <w:name w:val="正文（首行缩进两字）"/>
    <w:basedOn w:val="1"/>
    <w:qFormat/>
    <w:uiPriority w:val="0"/>
    <w:pPr>
      <w:ind w:firstLine="420" w:firstLineChars="200"/>
    </w:pPr>
    <w:rPr>
      <w:szCs w:val="21"/>
    </w:rPr>
  </w:style>
  <w:style w:type="paragraph" w:customStyle="1" w:styleId="48">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9">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50">
    <w:name w:val="页眉 字符"/>
    <w:link w:val="21"/>
    <w:qFormat/>
    <w:locked/>
    <w:uiPriority w:val="0"/>
    <w:rPr>
      <w:sz w:val="18"/>
    </w:rPr>
  </w:style>
  <w:style w:type="character" w:customStyle="1" w:styleId="51">
    <w:name w:val="正文文本 字符1"/>
    <w:semiHidden/>
    <w:qFormat/>
    <w:uiPriority w:val="0"/>
    <w:rPr>
      <w:rFonts w:ascii="Times New Roman" w:hAnsi="Times New Roman" w:eastAsia="宋体"/>
      <w:sz w:val="24"/>
    </w:rPr>
  </w:style>
  <w:style w:type="character" w:customStyle="1" w:styleId="52">
    <w:name w:val="正文文本 字符"/>
    <w:link w:val="15"/>
    <w:qFormat/>
    <w:locked/>
    <w:uiPriority w:val="0"/>
    <w:rPr>
      <w:sz w:val="18"/>
    </w:rPr>
  </w:style>
  <w:style w:type="character" w:customStyle="1" w:styleId="53">
    <w:name w:val="普通(网站) 字符"/>
    <w:link w:val="31"/>
    <w:qFormat/>
    <w:locked/>
    <w:uiPriority w:val="0"/>
    <w:rPr>
      <w:rFonts w:ascii="宋体" w:hAnsi="宋体" w:eastAsia="宋体"/>
      <w:sz w:val="24"/>
    </w:rPr>
  </w:style>
  <w:style w:type="character" w:customStyle="1" w:styleId="54">
    <w:name w:val="批注文字 字符"/>
    <w:link w:val="14"/>
    <w:qFormat/>
    <w:locked/>
    <w:uiPriority w:val="0"/>
    <w:rPr>
      <w:rFonts w:ascii="Times New Roman" w:hAnsi="Times New Roman" w:eastAsia="宋体"/>
      <w:sz w:val="24"/>
    </w:rPr>
  </w:style>
  <w:style w:type="character" w:customStyle="1" w:styleId="55">
    <w:name w:val="正文文本缩进 字符"/>
    <w:link w:val="11"/>
    <w:semiHidden/>
    <w:qFormat/>
    <w:locked/>
    <w:uiPriority w:val="0"/>
    <w:rPr>
      <w:rFonts w:ascii="Times New Roman" w:hAnsi="Times New Roman" w:eastAsia="宋体"/>
      <w:sz w:val="24"/>
    </w:rPr>
  </w:style>
  <w:style w:type="character" w:customStyle="1" w:styleId="56">
    <w:name w:val="表格 Char"/>
    <w:link w:val="45"/>
    <w:qFormat/>
    <w:locked/>
    <w:uiPriority w:val="0"/>
    <w:rPr>
      <w:rFonts w:ascii="宋体"/>
      <w:sz w:val="21"/>
    </w:rPr>
  </w:style>
  <w:style w:type="character" w:customStyle="1" w:styleId="57">
    <w:name w:val="页脚 字符1"/>
    <w:link w:val="20"/>
    <w:qFormat/>
    <w:locked/>
    <w:uiPriority w:val="99"/>
    <w:rPr>
      <w:sz w:val="18"/>
    </w:rPr>
  </w:style>
  <w:style w:type="character" w:customStyle="1" w:styleId="58">
    <w:name w:val="批注主题 字符"/>
    <w:link w:val="33"/>
    <w:semiHidden/>
    <w:qFormat/>
    <w:locked/>
    <w:uiPriority w:val="0"/>
    <w:rPr>
      <w:rFonts w:ascii="Times New Roman" w:hAnsi="Times New Roman" w:eastAsia="宋体"/>
      <w:b/>
      <w:kern w:val="2"/>
      <w:sz w:val="24"/>
    </w:rPr>
  </w:style>
  <w:style w:type="character" w:customStyle="1" w:styleId="59">
    <w:name w:val="页脚 字符"/>
    <w:basedOn w:val="37"/>
    <w:qFormat/>
    <w:uiPriority w:val="99"/>
  </w:style>
  <w:style w:type="character" w:customStyle="1" w:styleId="60">
    <w:name w:val="批注框文本 字符"/>
    <w:link w:val="19"/>
    <w:semiHidden/>
    <w:qFormat/>
    <w:locked/>
    <w:uiPriority w:val="0"/>
    <w:rPr>
      <w:rFonts w:ascii="Times New Roman" w:hAnsi="Times New Roman" w:eastAsia="宋体"/>
      <w:sz w:val="18"/>
    </w:rPr>
  </w:style>
  <w:style w:type="character" w:customStyle="1" w:styleId="61">
    <w:name w:val="日期 字符1"/>
    <w:link w:val="18"/>
    <w:qFormat/>
    <w:locked/>
    <w:uiPriority w:val="0"/>
    <w:rPr>
      <w:rFonts w:ascii="Times New Roman" w:hAnsi="Times New Roman" w:eastAsia="宋体"/>
      <w:sz w:val="24"/>
    </w:rPr>
  </w:style>
  <w:style w:type="character" w:customStyle="1" w:styleId="62">
    <w:name w:val="批注文字 字符1"/>
    <w:semiHidden/>
    <w:qFormat/>
    <w:uiPriority w:val="0"/>
    <w:rPr>
      <w:rFonts w:ascii="Times New Roman" w:hAnsi="Times New Roman" w:eastAsia="宋体"/>
      <w:sz w:val="24"/>
    </w:rPr>
  </w:style>
  <w:style w:type="character" w:customStyle="1" w:styleId="63">
    <w:name w:val="日期 字符"/>
    <w:semiHidden/>
    <w:qFormat/>
    <w:uiPriority w:val="0"/>
    <w:rPr>
      <w:rFonts w:ascii="Times New Roman" w:hAnsi="Times New Roman" w:eastAsia="宋体"/>
      <w:sz w:val="24"/>
    </w:rPr>
  </w:style>
  <w:style w:type="paragraph" w:customStyle="1" w:styleId="64">
    <w:name w:val="正文缩近"/>
    <w:basedOn w:val="1"/>
    <w:qFormat/>
    <w:uiPriority w:val="0"/>
    <w:pPr>
      <w:spacing w:line="360" w:lineRule="auto"/>
      <w:ind w:firstLine="560" w:firstLineChars="200"/>
    </w:pPr>
    <w:rPr>
      <w:sz w:val="28"/>
    </w:rPr>
  </w:style>
  <w:style w:type="paragraph" w:customStyle="1" w:styleId="65">
    <w:name w:val="Table Paragraph"/>
    <w:basedOn w:val="1"/>
    <w:qFormat/>
    <w:uiPriority w:val="1"/>
    <w:pPr>
      <w:jc w:val="center"/>
    </w:pPr>
    <w:rPr>
      <w:rFonts w:eastAsia="Times New Roman"/>
      <w:lang w:val="zh-CN" w:bidi="zh-CN"/>
    </w:rPr>
  </w:style>
  <w:style w:type="paragraph" w:customStyle="1" w:styleId="66">
    <w:name w:val="表 正文"/>
    <w:basedOn w:val="1"/>
    <w:qFormat/>
    <w:uiPriority w:val="0"/>
    <w:pPr>
      <w:snapToGrid w:val="0"/>
      <w:spacing w:line="360" w:lineRule="auto"/>
      <w:ind w:firstLine="200" w:firstLineChars="200"/>
    </w:pPr>
    <w:rPr>
      <w:kern w:val="44"/>
      <w:sz w:val="24"/>
    </w:rPr>
  </w:style>
  <w:style w:type="paragraph" w:styleId="67">
    <w:name w:val="List Paragraph"/>
    <w:basedOn w:val="1"/>
    <w:unhideWhenUsed/>
    <w:qFormat/>
    <w:uiPriority w:val="99"/>
    <w:pPr>
      <w:ind w:firstLine="420" w:firstLineChars="200"/>
    </w:pPr>
  </w:style>
  <w:style w:type="paragraph" w:customStyle="1" w:styleId="68">
    <w:name w:val="正文文本 (2)1"/>
    <w:basedOn w:val="1"/>
    <w:qFormat/>
    <w:uiPriority w:val="0"/>
    <w:pPr>
      <w:shd w:val="clear" w:color="auto" w:fill="FFFFFF"/>
      <w:spacing w:line="374" w:lineRule="exact"/>
      <w:jc w:val="distribute"/>
    </w:pPr>
    <w:rPr>
      <w:rFonts w:ascii="MingLiU" w:eastAsia="MingLiU"/>
      <w:spacing w:val="-10"/>
      <w:sz w:val="20"/>
    </w:rPr>
  </w:style>
  <w:style w:type="character" w:customStyle="1" w:styleId="69">
    <w:name w:val="正文文本 (2) + 9 pt"/>
    <w:qFormat/>
    <w:uiPriority w:val="0"/>
    <w:rPr>
      <w:rFonts w:hint="eastAsia" w:ascii="MingLiU" w:hAnsi="MingLiU" w:eastAsia="MingLiU" w:cs="MingLiU"/>
      <w:color w:val="000000"/>
      <w:spacing w:val="10"/>
      <w:w w:val="100"/>
      <w:position w:val="0"/>
      <w:sz w:val="18"/>
      <w:szCs w:val="18"/>
      <w:lang w:val="zh-TW" w:eastAsia="zh-TW" w:bidi="zh-TW"/>
    </w:rPr>
  </w:style>
  <w:style w:type="paragraph" w:customStyle="1" w:styleId="70">
    <w:name w:val="表字1"/>
    <w:basedOn w:val="1"/>
    <w:qFormat/>
    <w:uiPriority w:val="0"/>
    <w:pPr>
      <w:adjustRightInd w:val="0"/>
      <w:spacing w:line="360" w:lineRule="auto"/>
      <w:jc w:val="center"/>
      <w:textAlignment w:val="baseline"/>
    </w:pPr>
    <w:rPr>
      <w:rFonts w:ascii="宋体"/>
      <w:kern w:val="0"/>
      <w:szCs w:val="20"/>
    </w:rPr>
  </w:style>
  <w:style w:type="paragraph" w:customStyle="1" w:styleId="71">
    <w:name w:val="书 正文"/>
    <w:basedOn w:val="1"/>
    <w:qFormat/>
    <w:uiPriority w:val="0"/>
    <w:pPr>
      <w:adjustRightInd w:val="0"/>
      <w:snapToGrid w:val="0"/>
      <w:spacing w:line="360" w:lineRule="auto"/>
      <w:ind w:firstLine="200" w:firstLineChars="200"/>
      <w:jc w:val="left"/>
    </w:pPr>
    <w:rPr>
      <w:rFonts w:ascii="Times New Roman" w:hAnsi="Times New Roman" w:eastAsia="仿宋_GB2312" w:cs="Times New Roman"/>
      <w:kern w:val="24"/>
      <w:sz w:val="24"/>
      <w:szCs w:val="24"/>
    </w:rPr>
  </w:style>
  <w:style w:type="paragraph" w:customStyle="1" w:styleId="72">
    <w:name w:val="小标题"/>
    <w:basedOn w:val="1"/>
    <w:qFormat/>
    <w:uiPriority w:val="0"/>
    <w:pPr>
      <w:spacing w:line="240" w:lineRule="auto"/>
      <w:ind w:firstLine="0" w:firstLineChars="0"/>
      <w:jc w:val="center"/>
    </w:pPr>
    <w:rPr>
      <w:rFonts w:hint="eastAsia" w:cs="Times New Roman"/>
      <w:b/>
      <w:sz w:val="21"/>
    </w:rPr>
  </w:style>
  <w:style w:type="paragraph" w:customStyle="1" w:styleId="73">
    <w:name w:val="表格文字"/>
    <w:basedOn w:val="17"/>
    <w:next w:val="1"/>
    <w:qFormat/>
    <w:uiPriority w:val="0"/>
    <w:pPr>
      <w:jc w:val="center"/>
    </w:pPr>
    <w:rPr>
      <w:rFonts w:ascii="仿宋_GB2312" w:hAnsi="Arial Black" w:eastAsia="仿宋_GB2312"/>
      <w:kern w:val="44"/>
    </w:rPr>
  </w:style>
  <w:style w:type="table" w:customStyle="1" w:styleId="74">
    <w:name w:val="表格主题1"/>
    <w:basedOn w:val="35"/>
    <w:qFormat/>
    <w:uiPriority w:val="0"/>
    <w:pPr>
      <w:widowControl w:val="0"/>
      <w:jc w:val="both"/>
    </w:pPr>
    <w:rPr>
      <w:sz w:val="21"/>
    </w:rPr>
    <w:tblPr>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
    <w:trPr>
      <w:jc w:val="center"/>
    </w:trPr>
    <w:tcPr>
      <w:vAlign w:val="center"/>
    </w:tcPr>
    <w:tblStylePr w:type="firstRow">
      <w:pPr>
        <w:wordWrap/>
        <w:spacing w:before="0" w:beforeLines="0" w:beforeAutospacing="0" w:after="0" w:afterLines="0" w:afterAutospacing="0"/>
        <w:ind w:left="0" w:leftChars="0" w:right="0" w:rightChars="0"/>
      </w:pPr>
      <w:rPr>
        <w:b/>
        <w:sz w:val="21"/>
      </w:rPr>
    </w:tblStylePr>
  </w:style>
  <w:style w:type="paragraph" w:customStyle="1" w:styleId="75">
    <w:name w:val="报告正文"/>
    <w:basedOn w:val="1"/>
    <w:qFormat/>
    <w:uiPriority w:val="0"/>
    <w:pPr>
      <w:spacing w:line="400" w:lineRule="exact"/>
    </w:pPr>
    <w:rPr>
      <w:sz w:val="24"/>
      <w:szCs w:val="20"/>
    </w:rPr>
  </w:style>
  <w:style w:type="paragraph" w:customStyle="1" w:styleId="76">
    <w:name w:val="报告表正文"/>
    <w:basedOn w:val="1"/>
    <w:qFormat/>
    <w:uiPriority w:val="0"/>
    <w:pPr>
      <w:overflowPunct w:val="0"/>
      <w:adjustRightInd w:val="0"/>
      <w:snapToGrid w:val="0"/>
      <w:spacing w:line="360" w:lineRule="auto"/>
      <w:ind w:firstLine="200" w:firstLineChars="200"/>
    </w:pPr>
    <w:rPr>
      <w:rFonts w:ascii="Times New Roman" w:hAnsi="Times New Roman" w:eastAsia="仿宋_GB2312"/>
      <w:color w:val="000000"/>
      <w:kern w:val="16"/>
      <w:sz w:val="24"/>
      <w:szCs w:val="24"/>
    </w:rPr>
  </w:style>
  <w:style w:type="table" w:customStyle="1" w:styleId="77">
    <w:name w:val="Table Normal"/>
    <w:semiHidden/>
    <w:unhideWhenUsed/>
    <w:qFormat/>
    <w:uiPriority w:val="0"/>
    <w:tblPr>
      <w:tblCellMar>
        <w:top w:w="0" w:type="dxa"/>
        <w:left w:w="0" w:type="dxa"/>
        <w:bottom w:w="0" w:type="dxa"/>
        <w:right w:w="0" w:type="dxa"/>
      </w:tblCellMar>
    </w:tblPr>
  </w:style>
  <w:style w:type="paragraph" w:customStyle="1" w:styleId="78">
    <w:name w:val="表格1123"/>
    <w:basedOn w:val="34"/>
    <w:qFormat/>
    <w:uiPriority w:val="0"/>
    <w:pPr>
      <w:ind w:firstLine="0" w:firstLineChars="0"/>
      <w:jc w:val="center"/>
    </w:pPr>
    <w:rPr>
      <w:rFonts w:ascii="Times New Roman" w:hAnsi="Times New Roman" w:eastAsia="宋体"/>
      <w:sz w:val="18"/>
    </w:rPr>
  </w:style>
  <w:style w:type="paragraph" w:customStyle="1" w:styleId="79">
    <w:name w:val="报告表小标题"/>
    <w:basedOn w:val="1"/>
    <w:qFormat/>
    <w:uiPriority w:val="0"/>
    <w:pPr>
      <w:spacing w:line="360" w:lineRule="auto"/>
    </w:pPr>
    <w:rPr>
      <w:b/>
      <w:sz w:val="24"/>
    </w:rPr>
  </w:style>
  <w:style w:type="paragraph" w:customStyle="1" w:styleId="80">
    <w:name w:val="表一级标题"/>
    <w:basedOn w:val="1"/>
    <w:qFormat/>
    <w:uiPriority w:val="0"/>
    <w:pPr>
      <w:adjustRightInd w:val="0"/>
      <w:snapToGrid w:val="0"/>
      <w:spacing w:before="50" w:beforeLines="50" w:after="50" w:afterLines="50" w:line="240" w:lineRule="auto"/>
      <w:ind w:firstLine="0" w:firstLineChars="0"/>
      <w:jc w:val="left"/>
      <w:textAlignment w:val="baseline"/>
    </w:pPr>
    <w:rPr>
      <w:rFonts w:ascii="Times New Roman" w:hAnsi="Times New Roman" w:eastAsia="宋体"/>
      <w:b/>
      <w:sz w:val="24"/>
    </w:rPr>
  </w:style>
  <w:style w:type="paragraph" w:customStyle="1" w:styleId="81">
    <w:name w:val="表格内容"/>
    <w:basedOn w:val="82"/>
    <w:qFormat/>
    <w:uiPriority w:val="0"/>
    <w:pPr>
      <w:widowControl/>
    </w:pPr>
    <w:rPr>
      <w:rFonts w:hAnsi="宋体"/>
      <w:kern w:val="0"/>
      <w:sz w:val="21"/>
      <w:szCs w:val="21"/>
    </w:rPr>
  </w:style>
  <w:style w:type="paragraph" w:customStyle="1" w:styleId="82">
    <w:name w:val="表格表头"/>
    <w:basedOn w:val="83"/>
    <w:qFormat/>
    <w:uiPriority w:val="0"/>
    <w:pPr>
      <w:spacing w:beforeLines="50" w:line="240" w:lineRule="auto"/>
      <w:jc w:val="center"/>
      <w:outlineLvl w:val="9"/>
    </w:pPr>
    <w:rPr>
      <w:b/>
      <w:sz w:val="24"/>
    </w:rPr>
  </w:style>
  <w:style w:type="paragraph" w:customStyle="1" w:styleId="83">
    <w:name w:val="四级标题"/>
    <w:basedOn w:val="84"/>
    <w:qFormat/>
    <w:uiPriority w:val="0"/>
    <w:pPr>
      <w:outlineLvl w:val="3"/>
    </w:pPr>
    <w:rPr>
      <w:b w:val="0"/>
    </w:rPr>
  </w:style>
  <w:style w:type="paragraph" w:customStyle="1" w:styleId="84">
    <w:name w:val="三级标题"/>
    <w:basedOn w:val="85"/>
    <w:qFormat/>
    <w:uiPriority w:val="0"/>
    <w:pPr>
      <w:outlineLvl w:val="2"/>
    </w:pPr>
  </w:style>
  <w:style w:type="paragraph" w:customStyle="1" w:styleId="85">
    <w:name w:val="二级标题"/>
    <w:basedOn w:val="86"/>
    <w:qFormat/>
    <w:uiPriority w:val="0"/>
    <w:pPr>
      <w:ind w:firstLine="0" w:firstLineChars="0"/>
      <w:jc w:val="left"/>
      <w:outlineLvl w:val="1"/>
    </w:pPr>
    <w:rPr>
      <w:sz w:val="28"/>
    </w:rPr>
  </w:style>
  <w:style w:type="paragraph" w:customStyle="1" w:styleId="86">
    <w:name w:val="一级标题"/>
    <w:basedOn w:val="1"/>
    <w:qFormat/>
    <w:uiPriority w:val="0"/>
    <w:pPr>
      <w:jc w:val="center"/>
      <w:outlineLvl w:val="0"/>
    </w:pPr>
    <w:rPr>
      <w:b/>
      <w:sz w:val="30"/>
    </w:rPr>
  </w:style>
  <w:style w:type="character" w:customStyle="1" w:styleId="87">
    <w:name w:val="font21"/>
    <w:basedOn w:val="37"/>
    <w:qFormat/>
    <w:uiPriority w:val="0"/>
    <w:rPr>
      <w:rFonts w:ascii="宋体" w:hAnsi="宋体" w:eastAsia="宋体" w:cs="宋体"/>
      <w:b/>
      <w:bCs/>
      <w:color w:val="000000"/>
      <w:sz w:val="28"/>
      <w:szCs w:val="28"/>
      <w:u w:val="none"/>
    </w:rPr>
  </w:style>
  <w:style w:type="character" w:customStyle="1" w:styleId="88">
    <w:name w:val="font31"/>
    <w:basedOn w:val="37"/>
    <w:qFormat/>
    <w:uiPriority w:val="0"/>
    <w:rPr>
      <w:rFonts w:ascii="宋体" w:hAnsi="宋体" w:eastAsia="宋体" w:cs="宋体"/>
      <w:color w:val="000000"/>
      <w:sz w:val="28"/>
      <w:szCs w:val="28"/>
      <w:u w:val="none"/>
    </w:rPr>
  </w:style>
  <w:style w:type="character" w:customStyle="1" w:styleId="89">
    <w:name w:val="font41"/>
    <w:basedOn w:val="37"/>
    <w:qFormat/>
    <w:uiPriority w:val="0"/>
    <w:rPr>
      <w:rFonts w:ascii="宋体" w:hAnsi="宋体" w:eastAsia="宋体" w:cs="宋体"/>
      <w:color w:val="000000"/>
      <w:sz w:val="18"/>
      <w:szCs w:val="18"/>
      <w:u w:val="none"/>
    </w:rPr>
  </w:style>
  <w:style w:type="paragraph" w:customStyle="1" w:styleId="90">
    <w:name w:val="Table Text"/>
    <w:basedOn w:val="1"/>
    <w:semiHidden/>
    <w:qFormat/>
    <w:uiPriority w:val="0"/>
    <w:rPr>
      <w:rFonts w:ascii="宋体" w:hAnsi="宋体" w:eastAsia="宋体" w:cs="宋体"/>
      <w:sz w:val="16"/>
      <w:szCs w:val="16"/>
      <w:lang w:val="en-US" w:eastAsia="en-US" w:bidi="ar-SA"/>
    </w:rPr>
  </w:style>
  <w:style w:type="paragraph" w:customStyle="1" w:styleId="91">
    <w:name w:val="报告表表头"/>
    <w:basedOn w:val="92"/>
    <w:next w:val="45"/>
    <w:qFormat/>
    <w:uiPriority w:val="0"/>
    <w:pPr>
      <w:adjustRightInd w:val="0"/>
      <w:snapToGrid w:val="0"/>
      <w:spacing w:line="240" w:lineRule="auto"/>
      <w:jc w:val="center"/>
      <w:textAlignment w:val="baseline"/>
    </w:pPr>
    <w:rPr>
      <w:rFonts w:ascii="Times New Roman" w:hAnsi="Times New Roman" w:eastAsia="宋体"/>
      <w:b/>
      <w:sz w:val="21"/>
      <w:szCs w:val="28"/>
    </w:rPr>
  </w:style>
  <w:style w:type="paragraph" w:customStyle="1" w:styleId="92">
    <w:name w:val="表文"/>
    <w:basedOn w:val="1"/>
    <w:qFormat/>
    <w:uiPriority w:val="0"/>
    <w:pPr>
      <w:autoSpaceDE w:val="0"/>
      <w:autoSpaceDN w:val="0"/>
      <w:adjustRightInd w:val="0"/>
      <w:spacing w:line="360" w:lineRule="atLeast"/>
      <w:jc w:val="center"/>
      <w:textAlignment w:val="baseline"/>
    </w:pPr>
    <w:rPr>
      <w:rFonts w:ascii="宋体" w:hAnsi="Tms Rmn"/>
      <w:kern w:val="0"/>
      <w:sz w:val="24"/>
      <w:szCs w:val="20"/>
    </w:rPr>
  </w:style>
  <w:style w:type="paragraph" w:customStyle="1" w:styleId="93">
    <w:name w:val="表头002"/>
    <w:basedOn w:val="94"/>
    <w:qFormat/>
    <w:uiPriority w:val="0"/>
  </w:style>
  <w:style w:type="paragraph" w:customStyle="1" w:styleId="94">
    <w:name w:val="110"/>
    <w:next w:val="1"/>
    <w:qFormat/>
    <w:uiPriority w:val="0"/>
    <w:pPr>
      <w:widowControl w:val="0"/>
      <w:jc w:val="center"/>
    </w:pPr>
    <w:rPr>
      <w:rFonts w:ascii="Calibri" w:hAnsi="Calibri" w:eastAsia="宋体" w:cs="Times New Roman"/>
      <w:b/>
      <w:kern w:val="2"/>
      <w:sz w:val="24"/>
      <w:szCs w:val="24"/>
      <w:lang w:val="en-US" w:eastAsia="zh-CN" w:bidi="ar-SA"/>
    </w:rPr>
  </w:style>
  <w:style w:type="paragraph" w:customStyle="1" w:styleId="95">
    <w:name w:val="02表格文字-环评报告"/>
    <w:basedOn w:val="1"/>
    <w:qFormat/>
    <w:uiPriority w:val="0"/>
    <w:pPr>
      <w:adjustRightInd w:val="0"/>
      <w:snapToGrid w:val="0"/>
      <w:spacing w:line="240" w:lineRule="auto"/>
      <w:ind w:firstLine="0" w:firstLineChars="0"/>
      <w:jc w:val="center"/>
    </w:pPr>
    <w:rPr>
      <w:sz w:val="21"/>
      <w:szCs w:val="21"/>
    </w:rPr>
  </w:style>
  <w:style w:type="paragraph" w:customStyle="1" w:styleId="96">
    <w:name w:val="表格字"/>
    <w:basedOn w:val="28"/>
    <w:qFormat/>
    <w:uiPriority w:val="0"/>
    <w:pPr>
      <w:adjustRightInd w:val="0"/>
      <w:spacing w:line="240" w:lineRule="auto"/>
      <w:ind w:left="0" w:firstLine="0" w:firstLineChars="0"/>
      <w:jc w:val="center"/>
    </w:pPr>
    <w:rPr>
      <w:rFonts w:ascii="Times New Roman" w:hAnsi="Times New Roman" w:eastAsia="宋体" w:cs="Times New Roman"/>
      <w:sz w:val="21"/>
    </w:rPr>
  </w:style>
  <w:style w:type="paragraph" w:customStyle="1" w:styleId="97">
    <w:name w:val="报告书正文"/>
    <w:basedOn w:val="1"/>
    <w:qFormat/>
    <w:uiPriority w:val="0"/>
    <w:pPr>
      <w:spacing w:line="360" w:lineRule="auto"/>
      <w:ind w:firstLine="200" w:firstLineChars="200"/>
      <w:textAlignment w:val="baseline"/>
    </w:pPr>
    <w:rPr>
      <w:kern w:val="0"/>
      <w:sz w:val="24"/>
      <w:szCs w:val="20"/>
    </w:rPr>
  </w:style>
  <w:style w:type="paragraph" w:customStyle="1" w:styleId="98">
    <w:name w:val="【正文】"/>
    <w:basedOn w:val="1"/>
    <w:qFormat/>
    <w:uiPriority w:val="0"/>
    <w:pPr>
      <w:spacing w:line="440" w:lineRule="exact"/>
      <w:ind w:firstLine="544"/>
    </w:pPr>
    <w:rPr>
      <w:rFonts w:cs="宋体"/>
      <w:szCs w:val="20"/>
    </w:rPr>
  </w:style>
  <w:style w:type="paragraph" w:customStyle="1" w:styleId="99">
    <w:name w:val="Fließtext"/>
    <w:basedOn w:val="1"/>
    <w:qFormat/>
    <w:uiPriority w:val="0"/>
    <w:pPr>
      <w:overflowPunct w:val="0"/>
      <w:autoSpaceDE w:val="0"/>
      <w:autoSpaceDN w:val="0"/>
      <w:adjustRightInd w:val="0"/>
      <w:textAlignment w:val="baseline"/>
    </w:pPr>
    <w:rPr>
      <w:kern w:val="28"/>
      <w:szCs w:val="20"/>
    </w:rPr>
  </w:style>
  <w:style w:type="paragraph" w:styleId="100">
    <w:name w:val="No Spacing"/>
    <w:basedOn w:val="1"/>
    <w:next w:val="1"/>
    <w:qFormat/>
    <w:uiPriority w:val="1"/>
    <w:pPr>
      <w:adjustRightInd w:val="0"/>
      <w:snapToGrid w:val="0"/>
      <w:spacing w:line="360" w:lineRule="auto"/>
      <w:ind w:firstLine="200" w:firstLineChars="200"/>
      <w:jc w:val="left"/>
    </w:pPr>
    <w:rPr>
      <w:snapToGrid w:val="0"/>
      <w:kern w:val="0"/>
      <w:sz w:val="24"/>
      <w:szCs w:val="22"/>
    </w:rPr>
  </w:style>
  <w:style w:type="paragraph" w:customStyle="1" w:styleId="101">
    <w:name w:val="正文."/>
    <w:basedOn w:val="1"/>
    <w:qFormat/>
    <w:uiPriority w:val="0"/>
  </w:style>
  <w:style w:type="paragraph" w:customStyle="1" w:styleId="102">
    <w:name w:val="2表头图名"/>
    <w:basedOn w:val="15"/>
    <w:qFormat/>
    <w:uiPriority w:val="0"/>
    <w:pPr>
      <w:adjustRightInd w:val="0"/>
      <w:snapToGrid w:val="0"/>
      <w:spacing w:before="120"/>
      <w:jc w:val="center"/>
    </w:pPr>
    <w:rPr>
      <w:b/>
      <w:snapToGrid w:val="0"/>
    </w:rPr>
  </w:style>
  <w:style w:type="paragraph" w:customStyle="1" w:styleId="103">
    <w:name w:val="表内字--"/>
    <w:basedOn w:val="17"/>
    <w:qFormat/>
    <w:uiPriority w:val="0"/>
    <w:pPr>
      <w:spacing w:line="240" w:lineRule="auto"/>
      <w:ind w:firstLine="0" w:firstLineChars="0"/>
      <w:jc w:val="center"/>
    </w:pPr>
    <w:rPr>
      <w:rFonts w:ascii="Times New Roman" w:hAnsi="Times New Roman"/>
      <w:sz w:val="21"/>
      <w:szCs w:val="21"/>
    </w:rPr>
  </w:style>
  <w:style w:type="paragraph" w:customStyle="1" w:styleId="104">
    <w:name w:val="段落"/>
    <w:basedOn w:val="1"/>
    <w:qFormat/>
    <w:uiPriority w:val="0"/>
    <w:pPr>
      <w:adjustRightInd w:val="0"/>
      <w:snapToGrid w:val="0"/>
      <w:spacing w:line="360" w:lineRule="auto"/>
      <w:ind w:firstLine="464" w:firstLineChars="200"/>
      <w:jc w:val="left"/>
    </w:pPr>
    <w:rPr>
      <w:spacing w:val="-4"/>
      <w:sz w:val="24"/>
    </w:rPr>
  </w:style>
  <w:style w:type="paragraph" w:customStyle="1" w:styleId="105">
    <w:name w:val="Other|1"/>
    <w:basedOn w:val="1"/>
    <w:qFormat/>
    <w:uiPriority w:val="0"/>
    <w:pPr>
      <w:widowControl w:val="0"/>
      <w:shd w:val="clear" w:color="auto" w:fill="auto"/>
      <w:spacing w:line="410" w:lineRule="auto"/>
      <w:ind w:firstLine="400"/>
    </w:pPr>
    <w:rPr>
      <w:rFonts w:ascii="宋体" w:hAnsi="宋体" w:eastAsia="宋体" w:cs="宋体"/>
      <w:u w:val="none"/>
      <w:shd w:val="clear" w:color="auto" w:fill="auto"/>
      <w:lang w:val="zh-TW" w:eastAsia="zh-TW" w:bidi="zh-TW"/>
    </w:rPr>
  </w:style>
  <w:style w:type="character" w:customStyle="1" w:styleId="106">
    <w:name w:val="表号题注 Char Char"/>
    <w:link w:val="107"/>
    <w:qFormat/>
    <w:uiPriority w:val="0"/>
    <w:rPr>
      <w:rFonts w:hAnsi="宋体"/>
      <w:lang w:bidi="en-US"/>
    </w:rPr>
  </w:style>
  <w:style w:type="paragraph" w:customStyle="1" w:styleId="107">
    <w:name w:val="表号题注"/>
    <w:basedOn w:val="1"/>
    <w:link w:val="106"/>
    <w:qFormat/>
    <w:uiPriority w:val="0"/>
    <w:rPr>
      <w:rFonts w:hAnsi="宋体"/>
      <w:lang w:bidi="en-US"/>
    </w:rPr>
  </w:style>
  <w:style w:type="character" w:customStyle="1" w:styleId="108">
    <w:name w:val="font51"/>
    <w:basedOn w:val="37"/>
    <w:qFormat/>
    <w:uiPriority w:val="0"/>
    <w:rPr>
      <w:rFonts w:ascii="仿宋_GB2312" w:hAnsi="仿宋_GB2312" w:eastAsia="仿宋_GB2312" w:cs="仿宋_GB2312"/>
      <w:color w:val="000000"/>
      <w:sz w:val="19"/>
      <w:szCs w:val="19"/>
      <w:u w:val="none"/>
    </w:rPr>
  </w:style>
  <w:style w:type="character" w:customStyle="1" w:styleId="109">
    <w:name w:val="font81"/>
    <w:basedOn w:val="37"/>
    <w:qFormat/>
    <w:uiPriority w:val="0"/>
    <w:rPr>
      <w:rFonts w:hint="default" w:ascii="Times New Roman" w:hAnsi="Times New Roman" w:cs="Times New Roman"/>
      <w:color w:val="000000"/>
      <w:sz w:val="12"/>
      <w:szCs w:val="12"/>
      <w:u w:val="none"/>
    </w:rPr>
  </w:style>
  <w:style w:type="paragraph" w:customStyle="1" w:styleId="110">
    <w:name w:val="永环表内格式"/>
    <w:basedOn w:val="1"/>
    <w:qFormat/>
    <w:uiPriority w:val="0"/>
    <w:pPr>
      <w:adjustRightInd w:val="0"/>
      <w:snapToGrid w:val="0"/>
      <w:spacing w:line="300" w:lineRule="exact"/>
      <w:jc w:val="center"/>
    </w:pPr>
    <w:rPr>
      <w:rFonts w:ascii="宋体" w:hAnsi="宋体"/>
      <w:kern w:val="0"/>
      <w:szCs w:val="21"/>
    </w:rPr>
  </w:style>
  <w:style w:type="character" w:customStyle="1" w:styleId="111">
    <w:name w:val="font61"/>
    <w:basedOn w:val="37"/>
    <w:qFormat/>
    <w:uiPriority w:val="0"/>
    <w:rPr>
      <w:rFonts w:ascii="宋体" w:hAnsi="宋体" w:eastAsia="宋体" w:cs="宋体"/>
      <w:color w:val="000000"/>
      <w:sz w:val="24"/>
      <w:szCs w:val="24"/>
      <w:u w:val="none"/>
    </w:rPr>
  </w:style>
  <w:style w:type="character" w:customStyle="1" w:styleId="112">
    <w:name w:val="font71"/>
    <w:basedOn w:val="37"/>
    <w:qFormat/>
    <w:uiPriority w:val="0"/>
    <w:rPr>
      <w:rFonts w:ascii="宋体" w:hAnsi="宋体" w:eastAsia="宋体" w:cs="宋体"/>
      <w:color w:val="000000"/>
      <w:sz w:val="18"/>
      <w:szCs w:val="18"/>
      <w:u w:val="none"/>
    </w:rPr>
  </w:style>
  <w:style w:type="paragraph" w:customStyle="1" w:styleId="113">
    <w:name w:val="正文2"/>
    <w:basedOn w:val="1"/>
    <w:qFormat/>
    <w:uiPriority w:val="0"/>
    <w:pPr>
      <w:adjustRightInd w:val="0"/>
      <w:snapToGrid w:val="0"/>
      <w:spacing w:line="360" w:lineRule="auto"/>
      <w:ind w:firstLine="480" w:firstLineChars="200"/>
    </w:pPr>
    <w:rPr>
      <w:rFonts w:ascii="Times New Roman" w:hAnsi="Times New Roman" w:eastAsia="仿宋_GB2312"/>
      <w:color w:val="auto"/>
      <w:sz w:val="24"/>
    </w:rPr>
  </w:style>
  <w:style w:type="paragraph" w:customStyle="1" w:styleId="114">
    <w:name w:val="夏氏正文"/>
    <w:basedOn w:val="1"/>
    <w:qFormat/>
    <w:uiPriority w:val="0"/>
    <w:pPr>
      <w:widowControl/>
      <w:adjustRightInd w:val="0"/>
      <w:snapToGrid w:val="0"/>
      <w:spacing w:line="360" w:lineRule="auto"/>
      <w:ind w:firstLine="482"/>
      <w:jc w:val="both"/>
    </w:pPr>
    <w:rPr>
      <w:color w:val="auto"/>
    </w:rPr>
  </w:style>
  <w:style w:type="paragraph" w:customStyle="1" w:styleId="115">
    <w:name w:val="1131"/>
    <w:qFormat/>
    <w:uiPriority w:val="0"/>
    <w:pPr>
      <w:spacing w:line="360" w:lineRule="auto"/>
      <w:ind w:firstLine="480" w:firstLineChars="200"/>
    </w:pPr>
    <w:rPr>
      <w:rFonts w:ascii="Calibri" w:hAnsi="Calibri" w:eastAsia="宋体" w:cs="Times New Roman"/>
      <w:sz w:val="24"/>
      <w:szCs w:val="24"/>
      <w:lang w:val="en-US" w:eastAsia="zh-CN" w:bidi="ar-SA"/>
    </w:rPr>
  </w:style>
  <w:style w:type="paragraph" w:customStyle="1" w:styleId="116">
    <w:name w:val="环评正文"/>
    <w:basedOn w:val="18"/>
    <w:next w:val="1"/>
    <w:qFormat/>
    <w:uiPriority w:val="0"/>
    <w:pPr>
      <w:snapToGrid w:val="0"/>
      <w:spacing w:line="360" w:lineRule="auto"/>
      <w:ind w:firstLine="484"/>
      <w:jc w:val="left"/>
    </w:pPr>
    <w:rPr>
      <w:rFonts w:ascii="仿宋_GB2312" w:hAnsi="Times New Roman" w:eastAsia="仿宋_GB2312" w:cs="Times New Roman"/>
      <w:spacing w:val="1"/>
      <w:kern w:val="0"/>
      <w:position w:val="-3"/>
      <w:szCs w:val="20"/>
    </w:rPr>
  </w:style>
  <w:style w:type="paragraph" w:customStyle="1" w:styleId="117">
    <w:name w:val="表内文字"/>
    <w:basedOn w:val="118"/>
    <w:next w:val="1"/>
    <w:qFormat/>
    <w:uiPriority w:val="0"/>
    <w:pPr>
      <w:adjustRightInd w:val="0"/>
      <w:snapToGrid w:val="0"/>
    </w:pPr>
    <w:rPr>
      <w:rFonts w:cs="宋体"/>
      <w:snapToGrid w:val="0"/>
      <w:color w:val="000000"/>
      <w:kern w:val="0"/>
      <w:szCs w:val="20"/>
    </w:rPr>
  </w:style>
  <w:style w:type="paragraph" w:customStyle="1" w:styleId="118">
    <w:name w:val="表头11"/>
    <w:basedOn w:val="1"/>
    <w:next w:val="1"/>
    <w:qFormat/>
    <w:uiPriority w:val="0"/>
    <w:pPr>
      <w:adjustRightInd w:val="0"/>
      <w:snapToGrid w:val="0"/>
    </w:pPr>
    <w:rPr>
      <w:rFonts w:eastAsia="黑体"/>
    </w:rPr>
  </w:style>
  <w:style w:type="paragraph" w:customStyle="1" w:styleId="119">
    <w:name w:val="表格001"/>
    <w:basedOn w:val="1"/>
    <w:next w:val="120"/>
    <w:qFormat/>
    <w:uiPriority w:val="0"/>
    <w:pPr>
      <w:adjustRightInd w:val="0"/>
      <w:snapToGrid w:val="0"/>
      <w:spacing w:line="240" w:lineRule="auto"/>
      <w:jc w:val="center"/>
    </w:pPr>
    <w:rPr>
      <w:szCs w:val="21"/>
    </w:rPr>
  </w:style>
  <w:style w:type="paragraph" w:customStyle="1" w:styleId="120">
    <w:name w:val="正文001"/>
    <w:basedOn w:val="1"/>
    <w:qFormat/>
    <w:uiPriority w:val="0"/>
    <w:pPr>
      <w:adjustRightInd w:val="0"/>
      <w:snapToGrid w:val="0"/>
      <w:spacing w:line="360" w:lineRule="auto"/>
      <w:ind w:firstLine="720" w:firstLineChars="200"/>
      <w:jc w:val="both"/>
      <w:outlineLvl w:val="0"/>
    </w:pPr>
    <w:rPr>
      <w:rFonts w:ascii="Times New Roman" w:hAnsi="Times New Roman" w:eastAsia="宋体"/>
      <w:sz w:val="24"/>
    </w:rPr>
  </w:style>
  <w:style w:type="character" w:customStyle="1" w:styleId="121">
    <w:name w:val="font01"/>
    <w:basedOn w:val="37"/>
    <w:qFormat/>
    <w:uiPriority w:val="0"/>
    <w:rPr>
      <w:rFonts w:hint="eastAsia" w:ascii="宋体" w:hAnsi="宋体" w:eastAsia="宋体" w:cs="宋体"/>
      <w:color w:val="000000"/>
      <w:sz w:val="24"/>
      <w:szCs w:val="24"/>
      <w:u w:val="none"/>
    </w:rPr>
  </w:style>
  <w:style w:type="paragraph" w:customStyle="1" w:styleId="122">
    <w:name w:val="正文 首行缩进:  2 字符"/>
    <w:basedOn w:val="1"/>
    <w:qFormat/>
    <w:uiPriority w:val="0"/>
    <w:pPr>
      <w:adjustRightInd w:val="0"/>
      <w:snapToGrid w:val="0"/>
      <w:spacing w:line="500" w:lineRule="exact"/>
      <w:ind w:firstLine="200" w:firstLineChars="200"/>
      <w:jc w:val="left"/>
    </w:pPr>
    <w:rPr>
      <w:rFonts w:cs="宋体"/>
      <w:szCs w:val="20"/>
    </w:rPr>
  </w:style>
  <w:style w:type="paragraph" w:customStyle="1" w:styleId="123">
    <w:name w:val="0正文中9.8新"/>
    <w:basedOn w:val="124"/>
    <w:qFormat/>
    <w:uiPriority w:val="30"/>
    <w:pPr>
      <w:jc w:val="both"/>
    </w:pPr>
  </w:style>
  <w:style w:type="paragraph" w:customStyle="1" w:styleId="124">
    <w:name w:val="正文中"/>
    <w:basedOn w:val="125"/>
    <w:qFormat/>
    <w:uiPriority w:val="0"/>
    <w:pPr>
      <w:jc w:val="center"/>
    </w:pPr>
  </w:style>
  <w:style w:type="paragraph" w:customStyle="1" w:styleId="125">
    <w:name w:val="0正文缩进"/>
    <w:basedOn w:val="9"/>
    <w:qFormat/>
    <w:uiPriority w:val="0"/>
    <w:pPr>
      <w:spacing w:line="360" w:lineRule="auto"/>
    </w:pPr>
    <w:rPr>
      <w:rFonts w:ascii="宋体" w:hAnsi="宋体" w:eastAsia="仿宋_GB2312"/>
      <w:szCs w:val="24"/>
    </w:rPr>
  </w:style>
  <w:style w:type="paragraph" w:customStyle="1" w:styleId="126">
    <w:name w:val="Normal Indent1"/>
    <w:basedOn w:val="1"/>
    <w:qFormat/>
    <w:uiPriority w:val="0"/>
    <w:pPr>
      <w:spacing w:line="600" w:lineRule="exact"/>
      <w:ind w:firstLine="420"/>
    </w:pPr>
    <w:rPr>
      <w:rFonts w:ascii="宋体" w:cs="Times New Roman"/>
      <w:sz w:val="32"/>
      <w:szCs w:val="20"/>
    </w:rPr>
  </w:style>
  <w:style w:type="paragraph" w:customStyle="1" w:styleId="127">
    <w:name w:val="表格标题"/>
    <w:basedOn w:val="128"/>
    <w:qFormat/>
    <w:uiPriority w:val="0"/>
    <w:pPr>
      <w:adjustRightInd w:val="0"/>
      <w:snapToGrid w:val="0"/>
      <w:spacing w:after="0"/>
      <w:ind w:firstLine="0" w:firstLineChars="0"/>
      <w:jc w:val="center"/>
    </w:pPr>
    <w:rPr>
      <w:rFonts w:ascii="Times New Roman" w:hAnsi="Times New Roman"/>
      <w:b/>
      <w:szCs w:val="21"/>
    </w:rPr>
  </w:style>
  <w:style w:type="paragraph" w:customStyle="1" w:styleId="128">
    <w:name w:val="正文首行缩进1"/>
    <w:basedOn w:val="15"/>
    <w:qFormat/>
    <w:uiPriority w:val="0"/>
    <w:pPr>
      <w:ind w:firstLine="420" w:firstLineChars="100"/>
    </w:pPr>
  </w:style>
  <w:style w:type="paragraph" w:customStyle="1" w:styleId="129">
    <w:name w:val="表格文字（内）"/>
    <w:basedOn w:val="1"/>
    <w:qFormat/>
    <w:uiPriority w:val="0"/>
    <w:pPr>
      <w:adjustRightInd w:val="0"/>
      <w:snapToGrid w:val="0"/>
      <w:spacing w:line="240" w:lineRule="auto"/>
      <w:ind w:firstLine="0" w:firstLineChars="0"/>
      <w:jc w:val="center"/>
    </w:pPr>
    <w:rPr>
      <w:snapToGrid w:val="0"/>
      <w:sz w:val="21"/>
      <w:szCs w:val="21"/>
    </w:rPr>
  </w:style>
  <w:style w:type="paragraph" w:customStyle="1" w:styleId="130">
    <w:name w:val="图表文字"/>
    <w:basedOn w:val="15"/>
    <w:next w:val="131"/>
    <w:qFormat/>
    <w:uiPriority w:val="0"/>
    <w:pPr>
      <w:widowControl w:val="0"/>
      <w:snapToGrid/>
      <w:spacing w:before="0" w:after="0" w:line="240" w:lineRule="auto"/>
      <w:ind w:right="0"/>
      <w:jc w:val="center"/>
    </w:pPr>
    <w:rPr>
      <w:rFonts w:eastAsiaTheme="minorEastAsia" w:cstheme="minorBidi"/>
      <w:snapToGrid w:val="0"/>
      <w:kern w:val="2"/>
      <w:sz w:val="21"/>
      <w:szCs w:val="24"/>
    </w:rPr>
  </w:style>
  <w:style w:type="paragraph" w:customStyle="1" w:styleId="131">
    <w:name w:val="0正文"/>
    <w:basedOn w:val="1"/>
    <w:qFormat/>
    <w:uiPriority w:val="0"/>
    <w:pPr>
      <w:spacing w:line="360" w:lineRule="auto"/>
      <w:ind w:firstLine="480" w:firstLineChars="200"/>
    </w:pPr>
    <w:rPr>
      <w:rFonts w:eastAsia="Times New Roman"/>
      <w:color w:val="0000FF"/>
      <w:kern w:val="0"/>
      <w:sz w:val="24"/>
    </w:rPr>
  </w:style>
  <w:style w:type="paragraph" w:customStyle="1" w:styleId="132">
    <w:name w:val="表头111"/>
    <w:basedOn w:val="1"/>
    <w:qFormat/>
    <w:uiPriority w:val="0"/>
    <w:pPr>
      <w:jc w:val="center"/>
    </w:pPr>
    <w:rPr>
      <w:b/>
      <w:szCs w:val="21"/>
    </w:rPr>
  </w:style>
  <w:style w:type="paragraph" w:customStyle="1" w:styleId="133">
    <w:name w:val="样式 加粗 居中2"/>
    <w:basedOn w:val="1"/>
    <w:qFormat/>
    <w:uiPriority w:val="0"/>
    <w:pPr>
      <w:jc w:val="center"/>
    </w:pPr>
    <w:rPr>
      <w:rFonts w:cs="宋体"/>
      <w:bCs/>
      <w:szCs w:val="20"/>
    </w:rPr>
  </w:style>
  <w:style w:type="paragraph" w:customStyle="1" w:styleId="134">
    <w:name w:val="环评表格正文"/>
    <w:basedOn w:val="1"/>
    <w:qFormat/>
    <w:uiPriority w:val="0"/>
    <w:pPr>
      <w:topLinePunct/>
      <w:spacing w:line="240" w:lineRule="auto"/>
      <w:ind w:firstLine="0" w:firstLineChars="0"/>
      <w:jc w:val="center"/>
    </w:pPr>
    <w:rPr>
      <w:sz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14.wmf"/><Relationship Id="rId26" Type="http://schemas.openxmlformats.org/officeDocument/2006/relationships/oleObject" Target="embeddings/oleObject5.bin"/><Relationship Id="rId25" Type="http://schemas.openxmlformats.org/officeDocument/2006/relationships/image" Target="media/image13.wmf"/><Relationship Id="rId24" Type="http://schemas.openxmlformats.org/officeDocument/2006/relationships/oleObject" Target="embeddings/oleObject4.bin"/><Relationship Id="rId23" Type="http://schemas.openxmlformats.org/officeDocument/2006/relationships/image" Target="media/image12.emf"/><Relationship Id="rId22" Type="http://schemas.openxmlformats.org/officeDocument/2006/relationships/oleObject" Target="embeddings/oleObject3.bin"/><Relationship Id="rId21" Type="http://schemas.openxmlformats.org/officeDocument/2006/relationships/image" Target="media/image11.wmf"/><Relationship Id="rId20" Type="http://schemas.openxmlformats.org/officeDocument/2006/relationships/oleObject" Target="embeddings/oleObject2.bin"/><Relationship Id="rId2" Type="http://schemas.openxmlformats.org/officeDocument/2006/relationships/settings" Target="settings.xml"/><Relationship Id="rId19" Type="http://schemas.openxmlformats.org/officeDocument/2006/relationships/image" Target="media/image10.emf"/><Relationship Id="rId18" Type="http://schemas.openxmlformats.org/officeDocument/2006/relationships/oleObject" Target="embeddings/oleObject1.bin"/><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78</Pages>
  <Words>19986</Words>
  <Characters>21939</Characters>
  <Lines>160</Lines>
  <Paragraphs>45</Paragraphs>
  <TotalTime>140</TotalTime>
  <ScaleCrop>false</ScaleCrop>
  <LinksUpToDate>false</LinksUpToDate>
  <CharactersWithSpaces>22136</CharactersWithSpaces>
  <Application>WPS Office_11.8.2.10422_F1E327BC-269C-435d-A152-05C5408002CA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2020-12-24T09:29:00Z</dcterms:created>
  <dc:creator>lhj</dc:creator>
  <cp:lastModifiedBy>guyuan</cp:lastModifiedBy>
  <cp:lastPrinted>2020-12-29T10:43:00Z</cp:lastPrinted>
  <dcterms:modified xsi:type="dcterms:W3CDTF">2026-03-17T10:43:56Z</dcterms:modified>
  <dc:title>附件2</dc:title>
  <cp:revision>42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2052-11.8.2.10422</vt:lpwstr>
  </property>
  <property fmtid="{D5CDD505-2E9C-101B-9397-08002B2CF9AE}" pid="3" name="ICV">
    <vt:lpwstr>72814BD3C87B45A9B6B24C9E842193E7_13</vt:lpwstr>
  </property>
  <property fmtid="{D5CDD505-2E9C-101B-9397-08002B2CF9AE}" pid="4" name="KSOTemplateDocerSaveRecord">
    <vt:lpwstr>eyJoZGlkIjoiYTU3MDYwNzk3NDdmYThjMTE1NzE1MmY4Nzg4N2UzN2QiLCJ1c2VySWQiOiI0MDM5MjA3MjQifQ==</vt:lpwstr>
  </property>
</Properties>
</file>