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val="0"/>
        <w:topLinePunct w:val="0"/>
        <w:autoSpaceDE w:val="0"/>
        <w:autoSpaceDN w:val="0"/>
        <w:bidi w:val="0"/>
        <w:adjustRightInd w:val="0"/>
        <w:snapToGrid w:val="0"/>
        <w:jc w:val="left"/>
        <w:textAlignment w:val="baseline"/>
        <w:rPr>
          <w:rFonts w:ascii="方正公文小标宋" w:eastAsia="方正公文小标宋"/>
          <w:b w:val="0"/>
          <w:sz w:val="84"/>
          <w:szCs w:val="84"/>
          <w:lang w:eastAsia="zh-CN"/>
        </w:rPr>
      </w:pPr>
      <w:bookmarkStart w:id="0" w:name="_Toc176767294"/>
      <w:bookmarkStart w:id="1" w:name="_Toc172077950"/>
      <w:bookmarkStart w:id="2" w:name="_Toc172077552"/>
      <w:bookmarkStart w:id="3" w:name="_Toc172077417"/>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宁夏回族自治区固原市泾源县</w:t>
      </w: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泾河源镇</w:t>
      </w:r>
      <w:r>
        <w:rPr>
          <w:rFonts w:hint="eastAsia" w:ascii="方正公文小标宋" w:eastAsia="方正公文小标宋"/>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663127269"/>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hint="eastAsia" w:ascii="等线" w:hAnsi="等线" w:eastAsia="方正公文仿宋" w:cs="Arial"/>
              <w:snapToGrid/>
              <w:color w:val="auto"/>
              <w:kern w:val="2"/>
              <w:sz w:val="21"/>
              <w:szCs w:val="22"/>
              <w:lang w:val="en-US"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w:t>
          </w:r>
          <w:r>
            <w:fldChar w:fldCharType="end"/>
          </w:r>
          <w:r>
            <w:fldChar w:fldCharType="end"/>
          </w:r>
          <w:r>
            <w:rPr>
              <w:rFonts w:hint="eastAsia"/>
              <w:lang w:val="en-US" w:eastAsia="zh-CN"/>
            </w:rPr>
            <w:t>4</w:t>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4" w:name="_Toc172077416"/>
      <w:bookmarkStart w:id="5" w:name="_Toc172077551"/>
      <w:bookmarkStart w:id="6" w:name="_Toc172077949"/>
      <w:bookmarkStart w:id="7" w:name="_Toc1767672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4"/>
      <w:bookmarkEnd w:id="5"/>
      <w:bookmarkEnd w:id="6"/>
      <w:bookmarkEnd w:id="7"/>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Style w:val="20"/>
                <w:rFonts w:hAnsi="方正公文黑体" w:eastAsia="方正公文黑体"/>
                <w:color w:val="auto"/>
                <w:lang w:val="en-US" w:eastAsia="zh-CN"/>
              </w:rPr>
              <w:t>一、党的建设（2</w:t>
            </w:r>
            <w:r>
              <w:rPr>
                <w:rStyle w:val="20"/>
                <w:rFonts w:hint="eastAsia" w:hAnsi="方正公文黑体" w:eastAsia="方正公文黑体"/>
                <w:color w:val="auto"/>
                <w:lang w:val="en-US" w:eastAsia="zh-CN"/>
              </w:rPr>
              <w:t>4</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管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落实纪委监督责任，推动</w:t>
            </w:r>
            <w:r>
              <w:rPr>
                <w:rFonts w:hint="eastAsia" w:ascii="Times New Roman" w:hAnsi="Times New Roman" w:eastAsia="方正公文仿宋" w:cs="Times New Roman"/>
                <w:lang w:eastAsia="zh-CN"/>
              </w:rPr>
              <w:t>镇</w:t>
            </w:r>
            <w:r>
              <w:rPr>
                <w:rFonts w:ascii="Times New Roman" w:hAnsi="Times New Roman" w:eastAsia="方正公文仿宋" w:cs="Times New Roman"/>
                <w:lang w:eastAsia="zh-CN"/>
              </w:rPr>
              <w:t>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负责妇联基层组织建设，指导各村开展妇女儿童工作，维护妇女儿童合法权益。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二、经济发展（18项）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编制并执行财政预决算，加强和规范</w:t>
            </w:r>
            <w:r>
              <w:rPr>
                <w:rFonts w:hint="eastAsia" w:ascii="Times New Roman" w:hAnsi="Times New Roman" w:eastAsia="方正公文仿宋" w:cs="Times New Roman"/>
                <w:b w:val="0"/>
                <w:bCs w:val="0"/>
                <w:i w:val="0"/>
                <w:snapToGrid w:val="0"/>
                <w:color w:val="000000"/>
                <w:kern w:val="0"/>
                <w:sz w:val="21"/>
                <w:szCs w:val="21"/>
                <w:u w:val="none"/>
                <w:lang w:val="en-US" w:eastAsia="zh-CN"/>
              </w:rPr>
              <w:t>镇</w:t>
            </w:r>
            <w:r>
              <w:rPr>
                <w:rFonts w:ascii="Times New Roman" w:hAnsi="Times New Roman" w:eastAsia="方正公文仿宋" w:cs="Times New Roman"/>
                <w:b w:val="0"/>
                <w:bCs w:val="0"/>
                <w:i w:val="0"/>
                <w:snapToGrid w:val="0"/>
                <w:color w:val="000000"/>
                <w:kern w:val="0"/>
                <w:sz w:val="21"/>
                <w:szCs w:val="21"/>
                <w:u w:val="none"/>
                <w:lang w:val="en-US" w:eastAsia="zh-CN"/>
              </w:rPr>
              <w:t>、村两级财务收支管理。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依托独特区位优势和资源禀赋，围绕刺绣、泾源黄牛肉等泾源特色产品和非遗文化，发挥产业优势，推动农文旅深度融合。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负责生态经济发展工作，开展“林禽、林菌、林药、林蜂、林旅、林草”融合政策宣传及落实，开展林下经济项目建设工作。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提升资源有效转化率，申报、实施龙潭村有机肥生产等项目，推动循环农业建设。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挖掘特色资源优势，发展特种养殖业，建设底沟村林麝、梅花鹿养殖场，拓展周边市场，带动群众致富增收。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完善农产品深加工体系，培育壮大伊辉牛肉、泾六盘蜂蜜、六盘露矿泉水等本地特色农产品品牌，发挥品牌效应。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三、民生服务（1</w:t>
            </w:r>
            <w:r>
              <w:rPr>
                <w:rStyle w:val="20"/>
                <w:rFonts w:hint="eastAsia" w:hAnsi="方正公文黑体" w:eastAsia="方正公文黑体"/>
                <w:color w:val="auto"/>
                <w:lang w:val="en-US" w:eastAsia="zh-CN"/>
              </w:rPr>
              <w:t>6</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做好农村</w:t>
            </w:r>
            <w:r>
              <w:rPr>
                <w:rFonts w:hint="eastAsia" w:ascii="Times New Roman" w:hAnsi="Times New Roman" w:eastAsia="方正公文仿宋" w:cs="Times New Roman"/>
                <w:b w:val="0"/>
                <w:bCs w:val="0"/>
                <w:i w:val="0"/>
                <w:snapToGrid w:val="0"/>
                <w:color w:val="000000"/>
                <w:kern w:val="0"/>
                <w:sz w:val="21"/>
                <w:szCs w:val="21"/>
                <w:u w:val="none"/>
                <w:lang w:val="en-US" w:eastAsia="zh-CN"/>
              </w:rPr>
              <w:t>公益性</w:t>
            </w:r>
            <w:r>
              <w:rPr>
                <w:rFonts w:ascii="Times New Roman" w:hAnsi="Times New Roman" w:eastAsia="方正公文仿宋" w:cs="Times New Roman"/>
                <w:b w:val="0"/>
                <w:bCs w:val="0"/>
                <w:i w:val="0"/>
                <w:snapToGrid w:val="0"/>
                <w:color w:val="000000"/>
                <w:kern w:val="0"/>
                <w:sz w:val="21"/>
                <w:szCs w:val="21"/>
                <w:u w:val="none"/>
                <w:lang w:val="en-US" w:eastAsia="zh-CN"/>
              </w:rPr>
              <w:t>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w:t>
            </w:r>
            <w:r>
              <w:rPr>
                <w:rFonts w:hint="eastAsia" w:ascii="Times New Roman" w:hAnsi="Times New Roman" w:eastAsia="方正公文仿宋" w:cs="Times New Roman"/>
                <w:b w:val="0"/>
                <w:bCs w:val="0"/>
                <w:i w:val="0"/>
                <w:snapToGrid w:val="0"/>
                <w:color w:val="000000"/>
                <w:kern w:val="0"/>
                <w:sz w:val="21"/>
                <w:szCs w:val="21"/>
                <w:u w:val="none"/>
                <w:lang w:val="en-US" w:eastAsia="zh-CN"/>
              </w:rPr>
              <w:t>劳务管理服务工作，开展劳动力资源摸排，做好劳务输出和</w:t>
            </w:r>
            <w:r>
              <w:rPr>
                <w:rFonts w:ascii="Times New Roman" w:hAnsi="Times New Roman" w:eastAsia="方正公文仿宋" w:cs="Times New Roman"/>
                <w:b w:val="0"/>
                <w:bCs w:val="0"/>
                <w:i w:val="0"/>
                <w:snapToGrid w:val="0"/>
                <w:color w:val="000000"/>
                <w:kern w:val="0"/>
                <w:sz w:val="21"/>
                <w:szCs w:val="21"/>
                <w:u w:val="none"/>
                <w:lang w:val="en-US" w:eastAsia="zh-CN"/>
              </w:rPr>
              <w:t>乡村公益性岗位人员资格初审、日常管理。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做好城乡居民基本养老保险、灵活就业人员养老保险的信息采集、参保登记、待遇领取认证等相关工作。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hAnsi="方正公文黑体" w:eastAsia="方正公文黑体"/>
                <w:color w:val="auto"/>
                <w:lang w:val="en-US" w:eastAsia="zh-CN"/>
              </w:rPr>
              <w:t>四、平安法治（1</w:t>
            </w:r>
            <w:r>
              <w:rPr>
                <w:rStyle w:val="20"/>
                <w:rFonts w:hint="eastAsia" w:hAnsi="方正公文黑体" w:eastAsia="方正公文黑体"/>
                <w:color w:val="auto"/>
                <w:lang w:val="en-US" w:eastAsia="zh-CN"/>
              </w:rPr>
              <w:t>3</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做好大型活动和重要时期公共安全维护，负责辖区重点人群管控、维护活动秩序、安保值守等工作，协助有关部门做好突发事件的应对处置。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bCs/>
                <w:i w:val="0"/>
                <w:snapToGrid w:val="0"/>
                <w:color w:val="000000"/>
                <w:kern w:val="0"/>
                <w:sz w:val="21"/>
                <w:szCs w:val="21"/>
                <w:u w:val="none"/>
                <w:lang w:val="en-US" w:eastAsia="zh-CN"/>
              </w:rPr>
            </w:pPr>
            <w:r>
              <w:rPr>
                <w:rStyle w:val="20"/>
                <w:rFonts w:hAnsi="方正公文黑体" w:eastAsia="方正公文黑体"/>
                <w:color w:val="auto"/>
                <w:lang w:val="en-US" w:eastAsia="zh-CN"/>
              </w:rPr>
              <w:t>五、乡村振兴（</w:t>
            </w:r>
            <w:r>
              <w:rPr>
                <w:rStyle w:val="20"/>
                <w:rFonts w:hint="eastAsia" w:hAnsi="方正公文黑体" w:eastAsia="方正公文黑体"/>
                <w:color w:val="auto"/>
                <w:lang w:val="en-US" w:eastAsia="zh-CN"/>
              </w:rPr>
              <w:t>9</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napToGrid w:val="0"/>
                <w:color w:val="000000"/>
                <w:kern w:val="0"/>
                <w:sz w:val="21"/>
                <w:szCs w:val="21"/>
                <w:lang w:val="en-US" w:eastAsia="zh-CN"/>
              </w:rPr>
            </w:pPr>
            <w:r>
              <w:rPr>
                <w:rFonts w:hint="eastAsia" w:ascii="Times New Roman" w:hAnsi="Times New Roman" w:eastAsia="方正公文黑体" w:cs="Times New Roman"/>
                <w:snapToGrid w:val="0"/>
                <w:color w:val="000000"/>
                <w:kern w:val="0"/>
                <w:sz w:val="21"/>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培育现代乡村产业，指导、扶持和服务农民专业合作社、家庭农场等新型经营主体发展，做好“土特产”文章，发展乡村种养殖业、加工流通业、休闲旅游业、乡村服务业。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组织实施农田水利基本建设，开展已移交的水利基础设施巡查、管护工作。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研究制定传统村落保护发展措施，负责冶家村传统村落项目申报、建设、维修和利用，做好传统村落发展保护工作。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hAnsi="方正公文黑体" w:eastAsia="方正公文黑体"/>
                <w:color w:val="auto"/>
                <w:lang w:val="en-US" w:eastAsia="zh-CN"/>
              </w:rPr>
              <w:t>六、民族宗教（8项）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加强基层宗教工作，建立健全宗教网络体系和</w:t>
            </w:r>
            <w:r>
              <w:rPr>
                <w:rFonts w:hint="eastAsia" w:ascii="Times New Roman" w:hAnsi="Times New Roman" w:eastAsia="方正公文仿宋" w:cs="Times New Roman"/>
                <w:b w:val="0"/>
                <w:bCs w:val="0"/>
                <w:i w:val="0"/>
                <w:snapToGrid w:val="0"/>
                <w:color w:val="000000"/>
                <w:kern w:val="0"/>
                <w:sz w:val="21"/>
                <w:szCs w:val="21"/>
                <w:u w:val="none"/>
                <w:lang w:val="en-US" w:eastAsia="zh-CN"/>
              </w:rPr>
              <w:t>镇</w:t>
            </w:r>
            <w:r>
              <w:rPr>
                <w:rFonts w:ascii="Times New Roman" w:hAnsi="Times New Roman" w:eastAsia="方正公文仿宋" w:cs="Times New Roman"/>
                <w:b w:val="0"/>
                <w:bCs w:val="0"/>
                <w:i w:val="0"/>
                <w:snapToGrid w:val="0"/>
                <w:color w:val="000000"/>
                <w:kern w:val="0"/>
                <w:sz w:val="21"/>
                <w:szCs w:val="21"/>
                <w:u w:val="none"/>
                <w:lang w:val="en-US" w:eastAsia="zh-CN"/>
              </w:rPr>
              <w:t>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加强宗教活动场所日常</w:t>
            </w:r>
            <w:r>
              <w:rPr>
                <w:rFonts w:hint="eastAsia" w:ascii="Times New Roman" w:hAnsi="Times New Roman" w:eastAsia="方正公文仿宋" w:cs="Times New Roman"/>
                <w:b w:val="0"/>
                <w:bCs w:val="0"/>
                <w:i w:val="0"/>
                <w:snapToGrid w:val="0"/>
                <w:color w:val="000000"/>
                <w:kern w:val="0"/>
                <w:sz w:val="21"/>
                <w:szCs w:val="21"/>
                <w:u w:val="none"/>
                <w:lang w:val="en-US" w:eastAsia="zh-CN"/>
              </w:rPr>
              <w:t>管理</w:t>
            </w:r>
            <w:r>
              <w:rPr>
                <w:rFonts w:ascii="Times New Roman" w:hAnsi="Times New Roman" w:eastAsia="方正公文仿宋" w:cs="Times New Roman"/>
                <w:b w:val="0"/>
                <w:bCs w:val="0"/>
                <w:i w:val="0"/>
                <w:snapToGrid w:val="0"/>
                <w:color w:val="000000"/>
                <w:kern w:val="0"/>
                <w:sz w:val="21"/>
                <w:szCs w:val="21"/>
                <w:u w:val="none"/>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八、生态环保（10项）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实施底沟村碳汇林项目，提升森林碳汇能力，助力应对气候变化，实现生态与经济的协同发展。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十、文化和旅游（</w:t>
            </w:r>
            <w:r>
              <w:rPr>
                <w:rStyle w:val="20"/>
                <w:rFonts w:hint="eastAsia" w:hAnsi="方正公文黑体" w:eastAsia="方正公文黑体"/>
                <w:color w:val="auto"/>
                <w:lang w:val="en-US" w:eastAsia="zh-CN"/>
              </w:rPr>
              <w:t>9</w:t>
            </w:r>
            <w:r>
              <w:rPr>
                <w:rStyle w:val="20"/>
                <w:rFonts w:hAnsi="方正公文黑体" w:eastAsia="方正公文黑体"/>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依托国家级传统村落—冶家村、泾水北岸露营地、泾河夜肆、村休闲农庄等文化和旅游资源，促进泾河源镇农文旅深度融合发展。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培育发展休闲旅游、农事体验游、农耕研学游等业态，配套建设美术写生基地，配备泾河北岸“七彩滑道”、火山蹦床等游乐设施。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培育“土特产”品牌，打造泾源黄牛肉电商体验店、优质农特产品展销中心，发展“后备箱”经济。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开展全国（自治区）乡村旅游重点镇、自治区级中心镇建设试点项目申报。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hint="eastAsia" w:ascii="Times New Roman" w:hAnsi="Times New Roman" w:eastAsia="宋体" w:cs="Times New Roman"/>
                <w:i w:val="0"/>
                <w:snapToGrid w:val="0"/>
                <w:color w:val="000000"/>
                <w:kern w:val="0"/>
                <w:sz w:val="21"/>
                <w:szCs w:val="21"/>
                <w:u w:val="none"/>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开展景区周边环境综合整治，维护旅游秩序，保障旅游者合法权益，及时调处化解矛盾纠纷。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方正公文黑体" w:cs="Times New Roman"/>
                <w:sz w:val="21"/>
                <w:szCs w:val="21"/>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组织协调村委会做好流浪犬、猫的控制和处置，做好农村地区饲养犬只的防疫管理工作。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消防安全责任制，加强对农村消防工作的领导，指导、支持和帮助村委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hAnsi="方正公文黑体" w:eastAsia="方正公文黑体"/>
                <w:color w:val="auto"/>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D16FC206"/>
    <w:rsid w:val="EFEF4431"/>
    <w:rsid w:val="FDFE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51"/>
    <w:basedOn w:val="13"/>
    <w:qFormat/>
    <w:uiPriority w:val="0"/>
    <w:rPr>
      <w:rFonts w:ascii="仿宋_GB2312" w:eastAsia="仿宋_GB2312" w:cs="仿宋_GB2312"/>
      <w:color w:val="000000"/>
      <w:sz w:val="32"/>
      <w:szCs w:val="32"/>
      <w:u w:val="none"/>
    </w:rPr>
  </w:style>
  <w:style w:type="character" w:customStyle="1" w:styleId="24">
    <w:name w:val="font31"/>
    <w:basedOn w:val="13"/>
    <w:qFormat/>
    <w:uiPriority w:val="0"/>
    <w:rPr>
      <w:rFonts w:ascii="Times New Roman" w:hAnsi="Times New Roman" w:cs="Times New Roman"/>
      <w:color w:val="000000"/>
      <w:sz w:val="32"/>
      <w:szCs w:val="32"/>
      <w:u w:val="none"/>
    </w:rPr>
  </w:style>
  <w:style w:type="character" w:customStyle="1" w:styleId="25">
    <w:name w:val="font41"/>
    <w:basedOn w:val="13"/>
    <w:qFormat/>
    <w:uiPriority w:val="0"/>
    <w:rPr>
      <w:rFonts w:ascii="仿宋_GB2312" w:eastAsia="仿宋_GB2312" w:cs="仿宋_GB2312"/>
      <w:b/>
      <w:color w:val="000000"/>
      <w:sz w:val="32"/>
      <w:szCs w:val="32"/>
      <w:u w:val="none"/>
    </w:rPr>
  </w:style>
  <w:style w:type="character" w:customStyle="1" w:styleId="26">
    <w:name w:val="font01"/>
    <w:basedOn w:val="13"/>
    <w:qFormat/>
    <w:uiPriority w:val="0"/>
    <w:rPr>
      <w:rFonts w:ascii="Times New Roman" w:hAnsi="Times New Roman" w:cs="Times New Roman"/>
      <w:b/>
      <w:color w:val="000000"/>
      <w:sz w:val="32"/>
      <w:szCs w:val="32"/>
      <w:u w:val="none"/>
    </w:rPr>
  </w:style>
  <w:style w:type="character" w:customStyle="1" w:styleId="27">
    <w:name w:val="font11"/>
    <w:basedOn w:val="13"/>
    <w:qFormat/>
    <w:uiPriority w:val="0"/>
    <w:rPr>
      <w:rFonts w:ascii="仿宋_GB2312" w:eastAsia="仿宋_GB2312" w:cs="仿宋_GB2312"/>
      <w:color w:val="000000"/>
      <w:sz w:val="32"/>
      <w:szCs w:val="32"/>
      <w:u w:val="none"/>
    </w:rPr>
  </w:style>
  <w:style w:type="character" w:customStyle="1" w:styleId="28">
    <w:name w:val="font81"/>
    <w:basedOn w:val="13"/>
    <w:qFormat/>
    <w:uiPriority w:val="0"/>
    <w:rPr>
      <w:rFonts w:ascii="Times New Roman" w:hAnsi="Times New Roman" w:cs="Times New Roman"/>
      <w:color w:val="000000"/>
      <w:sz w:val="28"/>
      <w:szCs w:val="28"/>
      <w:u w:val="none"/>
    </w:rPr>
  </w:style>
  <w:style w:type="character" w:customStyle="1" w:styleId="29">
    <w:name w:val="font91"/>
    <w:basedOn w:val="13"/>
    <w:qFormat/>
    <w:uiPriority w:val="0"/>
    <w:rPr>
      <w:rFonts w:ascii="仿宋_GB2312" w:eastAsia="仿宋_GB2312" w:cs="仿宋_GB2312"/>
      <w:color w:val="000000"/>
      <w:sz w:val="28"/>
      <w:szCs w:val="28"/>
      <w:u w:val="none"/>
    </w:rPr>
  </w:style>
  <w:style w:type="character" w:customStyle="1" w:styleId="30">
    <w:name w:val="font112"/>
    <w:basedOn w:val="13"/>
    <w:qFormat/>
    <w:uiPriority w:val="0"/>
    <w:rPr>
      <w:rFonts w:ascii="Times New Roman" w:hAnsi="Times New Roman" w:cs="Times New Roman"/>
      <w:b/>
      <w:color w:val="000000"/>
      <w:sz w:val="28"/>
      <w:szCs w:val="28"/>
      <w:u w:val="none"/>
    </w:rPr>
  </w:style>
  <w:style w:type="character" w:customStyle="1" w:styleId="31">
    <w:name w:val="font71"/>
    <w:basedOn w:val="13"/>
    <w:qFormat/>
    <w:uiPriority w:val="0"/>
    <w:rPr>
      <w:rFonts w:ascii="Times New Roman" w:hAnsi="Times New Roman" w:cs="Times New Roman"/>
      <w:color w:val="000000"/>
      <w:sz w:val="32"/>
      <w:szCs w:val="32"/>
      <w:u w:val="none"/>
    </w:rPr>
  </w:style>
  <w:style w:type="character" w:customStyle="1" w:styleId="32">
    <w:name w:val="font6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28485</Characters>
  <Lines>0</Lines>
  <Paragraphs>24</Paragraphs>
  <TotalTime>0</TotalTime>
  <ScaleCrop>false</ScaleCrop>
  <LinksUpToDate>false</LinksUpToDate>
  <CharactersWithSpaces>37980</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2024-07-28T04:59:00Z</dcterms:created>
  <dc:creator>liuhl</dc:creator>
  <cp:lastModifiedBy>guyuan</cp:lastModifiedBy>
  <cp:lastPrinted>2025-04-23T13:07:00Z</cp:lastPrinted>
  <dcterms:modified xsi:type="dcterms:W3CDTF">2025-04-23T11:24:39Z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CF3FD4F1F971C2E72AF00668BF7559EB</vt:lpwstr>
  </property>
</Properties>
</file>