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宁夏回族自治区固原市泾源县</w:t>
      </w:r>
    </w:p>
    <w:p>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新民乡履行职责事项清单</w:t>
      </w:r>
    </w:p>
    <w:p>
      <w:pPr>
        <w:pStyle w:val="2"/>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等线"/>
          <w:b/>
          <w:sz w:val="32"/>
          <w:lang w:eastAsia="zh-CN"/>
        </w:rPr>
      </w:pPr>
    </w:p>
    <w:sdt>
      <w:sdtPr>
        <w:rPr>
          <w:rFonts w:ascii="Arial" w:hAnsi="Arial" w:eastAsia="Arial" w:cs="Arial"/>
          <w:snapToGrid w:val="0"/>
          <w:color w:val="000000"/>
          <w:sz w:val="21"/>
          <w:szCs w:val="21"/>
          <w:lang w:val="zh-CN"/>
        </w:rPr>
        <w:id w:val="1908900319"/>
        <w:docPartObj>
          <w:docPartGallery w:val="Table of Contents"/>
          <w:docPartUnique/>
        </w:docPartObj>
      </w:sdtPr>
      <w:sdtEndPr>
        <w:rPr>
          <w:rFonts w:ascii="Arial" w:hAnsi="Arial" w:eastAsia="Arial" w:cs="Arial"/>
          <w:b/>
          <w:bCs/>
          <w:snapToGrid w:val="0"/>
          <w:color w:val="000000"/>
          <w:sz w:val="21"/>
          <w:szCs w:val="21"/>
          <w:lang w:val="zh-CN"/>
        </w:rPr>
      </w:sdtEndPr>
      <w:sdtContent>
        <w:p>
          <w:pPr>
            <w:pStyle w:val="22"/>
            <w:jc w:val="center"/>
            <w:rPr>
              <w:rFonts w:hint="eastAsia"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rPr>
              <w:lang w:val="zh-CN"/>
            </w:rPr>
          </w:pPr>
        </w:p>
        <w:p>
          <w:pPr>
            <w:pStyle w:val="10"/>
            <w:numPr>
              <w:ilvl w:val="0"/>
              <w:numId w:val="0"/>
            </w:numPr>
            <w:tabs>
              <w:tab w:val="right" w:leader="dot" w:pos="13991"/>
            </w:tabs>
            <w:rPr>
              <w:rFonts w:ascii="等线" w:hAnsi="等线" w:eastAsia="等线" w:cs="Arial"/>
              <w:snapToGrid/>
              <w:color w:val="auto"/>
              <w:kern w:val="2"/>
              <w:sz w:val="21"/>
              <w:szCs w:val="22"/>
              <w:lang w:eastAsia="zh-CN"/>
            </w:rPr>
          </w:pPr>
          <w:r>
            <w:rPr>
              <w:rFonts w:hint="eastAsia"/>
              <w:lang w:val="en-US" w:eastAsia="zh-CN"/>
            </w:rPr>
            <w:t>1.</w:t>
          </w: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pPr>
            <w:pStyle w:val="10"/>
            <w:numPr>
              <w:ilvl w:val="0"/>
              <w:numId w:val="0"/>
            </w:numPr>
            <w:tabs>
              <w:tab w:val="right" w:leader="dot" w:pos="13991"/>
            </w:tabs>
            <w:rPr>
              <w:rFonts w:ascii="等线" w:hAnsi="等线" w:eastAsia="等线" w:cs="Arial"/>
              <w:snapToGrid/>
              <w:color w:val="auto"/>
              <w:kern w:val="2"/>
              <w:sz w:val="21"/>
              <w:szCs w:val="22"/>
              <w:lang w:eastAsia="zh-CN"/>
            </w:rPr>
          </w:pPr>
          <w:r>
            <w:rPr>
              <w:rFonts w:hint="eastAsia"/>
              <w:lang w:val="en-US" w:eastAsia="zh-CN"/>
            </w:rPr>
            <w:t>2.</w:t>
          </w:r>
          <w:r>
            <w:fldChar w:fldCharType="begin"/>
          </w:r>
          <w:r>
            <w:instrText xml:space="preserve"> HYPERLINK \l "_Toc176767294" </w:instrText>
          </w:r>
          <w:r>
            <w:fldChar w:fldCharType="separate"/>
          </w:r>
          <w:r>
            <w:rPr>
              <w:rFonts w:eastAsia="方正公文小标宋" w:cs="Times New Roman"/>
              <w:lang w:eastAsia="zh-CN"/>
            </w:rPr>
            <w:t>配合履职事项清单</w:t>
          </w:r>
          <w:r>
            <w:tab/>
          </w:r>
          <w:r>
            <w:fldChar w:fldCharType="begin"/>
          </w:r>
          <w:r>
            <w:instrText xml:space="preserve"> PAGEREF _Toc176767294 \h </w:instrText>
          </w:r>
          <w:r>
            <w:fldChar w:fldCharType="separate"/>
          </w:r>
          <w:r>
            <w:t>14</w:t>
          </w:r>
          <w:r>
            <w:fldChar w:fldCharType="end"/>
          </w:r>
          <w:r>
            <w:fldChar w:fldCharType="end"/>
          </w:r>
        </w:p>
        <w:p>
          <w:pPr>
            <w:pStyle w:val="10"/>
            <w:numPr>
              <w:ilvl w:val="0"/>
              <w:numId w:val="0"/>
            </w:numPr>
            <w:tabs>
              <w:tab w:val="right" w:leader="dot" w:pos="13991"/>
            </w:tabs>
            <w:rPr>
              <w:rFonts w:ascii="等线" w:hAnsi="等线" w:eastAsia="等线" w:cs="Arial"/>
              <w:snapToGrid/>
              <w:color w:val="auto"/>
              <w:kern w:val="2"/>
              <w:sz w:val="21"/>
              <w:szCs w:val="22"/>
              <w:lang w:eastAsia="zh-CN"/>
            </w:rPr>
          </w:pPr>
          <w:r>
            <w:rPr>
              <w:rFonts w:hint="eastAsia"/>
              <w:lang w:val="en-US" w:eastAsia="zh-CN"/>
            </w:rPr>
            <w:t>3.</w:t>
          </w:r>
          <w:r>
            <w:fldChar w:fldCharType="begin"/>
          </w:r>
          <w:r>
            <w:instrText xml:space="preserve"> HYPERLINK \l "_Toc176767295" </w:instrText>
          </w:r>
          <w:r>
            <w:fldChar w:fldCharType="separate"/>
          </w:r>
          <w:r>
            <w:rPr>
              <w:rFonts w:eastAsia="方正公文小标宋" w:cs="Times New Roman"/>
              <w:lang w:eastAsia="zh-CN"/>
            </w:rPr>
            <w:t>上级部门收回事项清单</w:t>
          </w:r>
          <w:r>
            <w:tab/>
          </w:r>
          <w:r>
            <w:fldChar w:fldCharType="begin"/>
          </w:r>
          <w:r>
            <w:instrText xml:space="preserve"> PAGEREF _Toc176767295 \h </w:instrText>
          </w:r>
          <w:r>
            <w:fldChar w:fldCharType="separate"/>
          </w:r>
          <w:r>
            <w:t>44</w:t>
          </w:r>
          <w:r>
            <w:fldChar w:fldCharType="end"/>
          </w:r>
          <w:r>
            <w:fldChar w:fldCharType="end"/>
          </w:r>
        </w:p>
        <w:p>
          <w:r>
            <w:rPr>
              <w:b/>
              <w:bCs/>
              <w:lang w:val="zh-CN"/>
            </w:rPr>
            <w:fldChar w:fldCharType="end"/>
          </w:r>
        </w:p>
      </w:sdtContent>
    </w:sdt>
    <w:p>
      <w:pPr>
        <w:pStyle w:val="2"/>
        <w:jc w:val="both"/>
        <w:rPr>
          <w:rFonts w:ascii="Times New Roman" w:hAnsi="Times New Roman" w:eastAsia="方正小标宋_GBK" w:cs="Times New Roman"/>
          <w:color w:val="auto"/>
          <w:spacing w:val="7"/>
          <w:sz w:val="44"/>
          <w:szCs w:val="44"/>
          <w:lang w:eastAsia="zh-CN"/>
        </w:rPr>
      </w:pPr>
    </w:p>
    <w:p>
      <w:pPr>
        <w:rPr>
          <w:rStyle w:val="15"/>
          <w:rFonts w:ascii="Times New Roman" w:hAnsi="Times New Roman" w:eastAsia="方正公文小标宋" w:cs="Times New Roman"/>
          <w:color w:val="0563C1"/>
          <w:sz w:val="32"/>
          <w:u w:val="none"/>
          <w:lang w:eastAsia="zh-CN"/>
        </w:rPr>
      </w:pPr>
    </w:p>
    <w:p>
      <w:pPr>
        <w:rPr>
          <w:rStyle w:val="15"/>
          <w:rFonts w:ascii="Times New Roman" w:hAnsi="Times New Roman" w:eastAsia="方正公文小标宋" w:cs="Times New Roman"/>
          <w:color w:val="0563C1"/>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keepNext/>
        <w:keepLines/>
        <w:pageBreakBefore w:val="0"/>
        <w:widowControl/>
        <w:kinsoku/>
        <w:wordWrap/>
        <w:overflowPunct/>
        <w:topLinePunct w:val="0"/>
        <w:autoSpaceDE w:val="0"/>
        <w:autoSpaceDN w:val="0"/>
        <w:bidi w:val="0"/>
        <w:adjustRightInd w:val="0"/>
        <w:snapToGrid w:val="0"/>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176767293"/>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2"/>
        <w:tblW w:w="140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2"/>
        <w:gridCol w:w="13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rPr>
            </w:pPr>
            <w:r>
              <w:rPr>
                <w:rFonts w:ascii="Times New Roman" w:hAnsi="Times New Roman" w:eastAsia="方正公文黑体" w:cs="Times New Roman"/>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黑体" w:cs="Times New Roman"/>
                <w:lang w:eastAsia="zh-CN"/>
              </w:rPr>
            </w:pPr>
            <w:r>
              <w:rPr>
                <w:rStyle w:val="20"/>
                <w:rFonts w:ascii="Times New Roman" w:hAnsi="Times New Roman" w:eastAsia="方正公文黑体" w:cs="Times New Roman"/>
                <w:color w:val="auto"/>
                <w:lang w:eastAsia="zh-CN"/>
              </w:rPr>
              <w:t>一、党的建设（</w:t>
            </w:r>
            <w:r>
              <w:rPr>
                <w:rStyle w:val="20"/>
                <w:rFonts w:ascii="Times New Roman" w:hAnsi="Times New Roman" w:eastAsia="方正公文黑体" w:cs="Times New Roman"/>
                <w:color w:val="auto"/>
                <w:lang w:val="en-US" w:eastAsia="zh-CN"/>
              </w:rPr>
              <w:t>25</w:t>
            </w:r>
            <w:r>
              <w:rPr>
                <w:rStyle w:val="20"/>
                <w:rFonts w:ascii="Times New Roman" w:hAnsi="Times New Roman" w:eastAsia="方正公文黑体" w:cs="Times New Roman"/>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学习贯彻落实习近平新时代中国特色社会主义思想和习近平总书记考察宁夏重要讲话精神，宣传和贯彻执行党的路线、方针、政策，按照党中央和上级党委部署开展党内集中教育，加强政治建设，坚定拥护“两个确立”、坚决做到“两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落实党中央决策部署及上级党委工作要求，讨论和决定乡镇经济建设、政治建设、文化建设、社会建设、生态文明建设和党的建设及乡村振兴中的重大问题，落实全面深化改革涉及的具体任务。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开展铸牢中华民族共同体意识工作，构筑中华民族共有精神家园，促进各民族交往交流交融，坚决守好民族团结生命线。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管理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落实党代会代表任期制，做好代表选举及联络服务工作，指导下级党组织开展换届选举。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依据权限和授权负责本辖区下级党组织的成立、调整和撤销，对下级党组织负责人进行选拔、任命和报备。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做好发展党员及党员教育、管理、监督、服务工作。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落实基层党组织领导的基层群众自治制度，指导村委会、村监委会规范化建设，加强换届选举的监督和指导，指导村建强人民调解、治安保卫等委员会，推进民主自治。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按照干部管理权限，负责干部的教育、培训、选拔、考核和监督工作，协助管理上级有关部门派驻单位干部，做好人才服务和引进工作。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落实全面从严治党主体责任，加强党风廉政建设和反腐败工作，强化作风建设，强化日常监督，做好新时代廉洁文化建设工作。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落实纪委监督责任，推动乡村两级监督体系建设，做好群众来信、来访、来电及网络举报的受理，按照权限分类处置问题线索，配合上级纪委做好案件监督管理、执纪执法评查等工作。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落实意识形态工作责任制和网络安全工作责任制，加强网络阵地建设和管理，引导基层党组织及党员主动参与网上正能量建设，加强对所属信息系统、数据信息的安全防护。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开展社会主义精神文明建设，培育和践行社会主义核心价值观，推进新时代文明实践所（站）建设，承担文明行为促进工作，推进移风易俗，弘扬时代新风。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落实党的社会工作部署，加强新兴领域党的建设，推进党建引领基层治理和基层政权建设，做好凝聚服务群众有关工作。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做好志愿者队伍建设和管理，建立健全网格服务管理体系，指导各村开展网格化服务管理工作，引导广大干部群众参与志愿服务。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eastAsia="zh-CN"/>
              </w:rPr>
            </w:pPr>
            <w:r>
              <w:rPr>
                <w:rFonts w:ascii="Times New Roman" w:hAnsi="Times New Roman" w:eastAsia="方正公文仿宋" w:cs="Times New Roman"/>
                <w:lang w:eastAsia="zh-CN"/>
              </w:rPr>
              <w:t>落实统一战线工作责任，联系和团结民主党派成员、党外知识分子等党外人士。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负责组织本辖区召开乡镇人民代表大会，按照要求做好人大代表选举工作，组织人大代表开展视察调研，加强人大代表家站建设，强化人大代表履职保障工作，办理和督促办理人大代表议案建议。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开展民主协商，做好政协委员的联络服务工作，承办政协委员提案、建议。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组织开展关心下一代工作，收集本辖区“五老”人员信息，动员“五老”人员参加志愿服务活动，做好辖区离退休干部服务管理工作。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加强对工会工作的领导，发挥工会组织在推动产业工人队伍建设改革、维护职工合法权益等方面桥梁纽带作用。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负责共青团的基层组织建设，开展区域化团建、服务青年和少先队工作。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负责妇联基层组织建设，指导各村开展妇女儿童工作，维护妇女儿童合法权益。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落实党管武装政治责任，加强基层武装部阵地规范化建设，开展双拥、国防教育以及潜力统计、民兵整组等国防动员工作，配合做好兵役登记和征兵相关工作。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加强红十字会基层组织建设，指导红十字会基层组织开展工作。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lang w:val="en-US" w:eastAsia="zh-CN"/>
              </w:rPr>
            </w:pPr>
            <w:r>
              <w:rPr>
                <w:rFonts w:ascii="Times New Roman" w:hAnsi="Times New Roman" w:eastAsia="方正公文黑体" w:cs="Times New Roman"/>
                <w:lang w:val="en-US" w:eastAsia="zh-CN"/>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lang w:val="en-US" w:eastAsia="zh-CN"/>
              </w:rPr>
            </w:pPr>
            <w:r>
              <w:rPr>
                <w:rFonts w:ascii="Times New Roman" w:hAnsi="Times New Roman" w:eastAsia="方正公文仿宋" w:cs="Times New Roman"/>
                <w:lang w:val="en-US" w:eastAsia="zh-CN"/>
              </w:rPr>
              <w:t>开展“村言村语”宣讲志愿服务活动，通过“板凳会</w:t>
            </w:r>
            <w:r>
              <w:rPr>
                <w:rFonts w:hint="eastAsia" w:ascii="Times New Roman" w:hAnsi="Times New Roman" w:eastAsia="方正公文仿宋" w:cs="Times New Roman"/>
                <w:lang w:val="en-US" w:eastAsia="zh-CN"/>
              </w:rPr>
              <w:t>”“</w:t>
            </w:r>
            <w:r>
              <w:rPr>
                <w:rFonts w:ascii="Times New Roman" w:hAnsi="Times New Roman" w:eastAsia="方正公文仿宋" w:cs="Times New Roman"/>
                <w:lang w:val="en-US" w:eastAsia="zh-CN"/>
              </w:rPr>
              <w:t>小院讲堂”等接地气的宣讲方式，讲好“党言党语”，用“百姓话”讲活“新思想”，用“小故事”诠释“大道理”，让党的方针政策“飞入寻常百姓家”。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二、经济发展（18项）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编制并执行经济和社会发展计划，组织做好发展农业和为发展农业服务的各项工作。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编制并执行财政预决算，加强和规范乡、村两级财务收支管理。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拟定年度项目计划并组织实施，开展招商引资，做好项目落地、实施的服务保障工作。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发展培育新产业、新业态、新模式，拓宽农民就业增收渠道，持续增加农民收入。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加强指导服务，引导和支持农民、返乡入乡人员创业创新。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指导发展农村集体经济，负责村集体经济组织资金、资产、资源的监督管理，监督指导农村集体产权制度改革。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负责财政资金管理及非税收入管理工作。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加强政府性债务规范管理，开展债务风险监测和预警。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开展村级公益事业财政奖补项目申报、实施、验收，指导落实长效管护。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负责人口普查、经济普查、农业普查等重大国情国力调查及经济社会发展情况统计调查，开展设施农业、农作物、畜牧业、月度调查失业率、机关事业单位劳动工资等统计工作。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负责闽宁协作帮扶工作，开展交流互访、商议帮扶事项和签订帮扶协议，实现优势互补，促进辖区经济社会发展。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依托独特区位优势和资源禀赋，围绕刺绣、泾源黄牛肉等泾源特色产品和非遗文化，发挥产业优势，推动农文旅深度融合。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推动肉牛、菌菇、中药材等产业高质量发展，扩大基地建设和联农带农规模，在品种、质量、市场、销售、品牌等方面做全链条示范。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推进社会信用建设工作，优化营商环境。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有效整合群众无人居住的“空庭院”、房前屋后“闲置地”、道路两侧“零散地”等资源，大力发展庭院菌菇、庭院养殖、庭院蔬菜等产业，推动形成“菇棚种植+庭院养殖+蔬菜种植”的多元化庭院经济模式，让农户的“院景”更有“钱景”，为“方寸地”增添“新活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依托张台村传统村落保护，发展林药、林菌、林旅等农文旅融合产业，打造张台村观光休闲产业园。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对接甘肃省华亭市马峡镇等周边县乡中药材集散地，示范推广“林药间作、苗药套种”发展模式，规模化发展中药材产业，打造新民乡中药材产业发展示范基地。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sz w:val="21"/>
                <w:szCs w:val="21"/>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聚焦肉牛全产业链发展，发挥致富带头人作用，积极对接西安等周边市场，持续在饲草种植、肉牛扩量、示范带动、屠宰加工等方面用力。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三、民生服务（17项）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统筹辖区审批服务力量和资源，加强便民服务中心和村综合服务站点建设，依法依规开展审批服务和帮办代办工作，实行“一站式服务</w:t>
            </w:r>
            <w:r>
              <w:rPr>
                <w:rFonts w:hint="eastAsia" w:ascii="Times New Roman" w:hAnsi="Times New Roman" w:eastAsia="方正公文仿宋" w:cs="Times New Roman"/>
                <w:b w:val="0"/>
                <w:bCs w:val="0"/>
                <w:i w:val="0"/>
                <w:snapToGrid w:val="0"/>
                <w:color w:val="000000"/>
                <w:kern w:val="0"/>
                <w:sz w:val="21"/>
                <w:szCs w:val="21"/>
                <w:u w:val="none"/>
                <w:lang w:val="en-US" w:eastAsia="zh-CN"/>
              </w:rPr>
              <w:t>”“</w:t>
            </w:r>
            <w:r>
              <w:rPr>
                <w:rFonts w:ascii="Times New Roman" w:hAnsi="Times New Roman" w:eastAsia="方正公文仿宋" w:cs="Times New Roman"/>
                <w:b w:val="0"/>
                <w:bCs w:val="0"/>
                <w:i w:val="0"/>
                <w:snapToGrid w:val="0"/>
                <w:color w:val="000000"/>
                <w:kern w:val="0"/>
                <w:sz w:val="21"/>
                <w:szCs w:val="21"/>
                <w:u w:val="none"/>
                <w:lang w:val="en-US" w:eastAsia="zh-CN"/>
              </w:rPr>
              <w:t>一门式办理”。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负责科协基层组织建设，联系和服务科技工作者，实施全民科学素质行动，做好科学技术普及、科技志愿服务等工作。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开展义务教育、家庭教育宣传，依法做好义务教育控辍保学、家校社协同育人工作。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依据权限负责低保家庭、低保边缘家庭、特困人员、临时救助、因病致贫、重病患者等困难群体认定的申请受理、调查核实、审核审批等工作。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对未成年人保护工作的领导，支持、指导各村做好未成年人保护工作，建立留守儿童、流动儿童、困境儿童信息台账并实行动态管理，负责孤儿、事实无人抚养儿童、重点困境儿童等群体基本生活保障的申请受理、查验审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养老服务补贴、护理补贴、高龄津贴申请受理、审核及上报工作，建立好独居、空巢、失能、重残特殊家庭老年人台账，指导各村做好日间照料中心、老年活动室、老年饭桌、适老化改造、探访关爱服务等保障老年人权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做好农村</w:t>
            </w:r>
            <w:r>
              <w:rPr>
                <w:rFonts w:hint="eastAsia" w:ascii="Times New Roman" w:hAnsi="Times New Roman" w:eastAsia="方正公文仿宋" w:cs="Times New Roman"/>
                <w:b w:val="0"/>
                <w:bCs w:val="0"/>
                <w:i w:val="0"/>
                <w:snapToGrid w:val="0"/>
                <w:color w:val="000000"/>
                <w:kern w:val="0"/>
                <w:sz w:val="21"/>
                <w:szCs w:val="21"/>
                <w:u w:val="none"/>
                <w:lang w:val="en-US" w:eastAsia="zh-CN"/>
              </w:rPr>
              <w:t>公益性</w:t>
            </w:r>
            <w:r>
              <w:rPr>
                <w:rFonts w:ascii="Times New Roman" w:hAnsi="Times New Roman" w:eastAsia="方正公文仿宋" w:cs="Times New Roman"/>
                <w:b w:val="0"/>
                <w:bCs w:val="0"/>
                <w:i w:val="0"/>
                <w:snapToGrid w:val="0"/>
                <w:color w:val="000000"/>
                <w:kern w:val="0"/>
                <w:sz w:val="21"/>
                <w:szCs w:val="21"/>
                <w:u w:val="none"/>
                <w:lang w:val="en-US" w:eastAsia="zh-CN"/>
              </w:rPr>
              <w:t>墓地设置相关工作，加强农村殡葬服务工作。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落实食品安全工作责任，加强食品安全宣传教育，督促指导辖区执法力量依法履行工作职责。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加强残联基层组织建设，开展残疾人证申办、残疾人教育就业、社会保障、文化体育、残疾预防和康复等工作，维护残疾人合法权益。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加强退役军人服务站规范化建设，做好退役军人就业创业扶持、优抚帮扶、走访慰问、权益维护等服务保障工作。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组织开展就业创业培训宣传，开展就业失业登记、就业困难人员认定、就业援助、创业扶持工作，承担相关补贴申请的受理、初审工作。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负责劳务管理服务工作，成立泾源县新民乡驻西安市劳务工作站，畅通信息渠道，建立就业信息库，为本乡务工人员提供就业岗位和信息，全力开展劳务输转工作，多渠道、多方式推动农村劳动力就业。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负责做好乡村公益性岗位人员资格初审、日常管理。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做好城乡居民基本养老保险、灵活就业人员养老保险的信息采集、参保登记、待遇认证领取等相关工作。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做好城乡居民基本医疗保险参保登记、终止（暂停）、恢复、信息变更、征缴宣传等工作，做好城乡居民基本医疗保险跨省异地就医备案工作。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开展生育政策宣传和权益保护工作，落实优生优育、生育补贴和提高出生人口素质的政策措施，负责本辖区流动人口管理服务工作。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负责公共租赁住房保障申请的初审，受理城镇家庭住房救助申请。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Style w:val="20"/>
                <w:rFonts w:ascii="Times New Roman" w:hAnsi="Times New Roman" w:eastAsia="方正公文黑体" w:cs="Times New Roman"/>
                <w:color w:val="auto"/>
                <w:lang w:val="en-US" w:eastAsia="zh-CN"/>
              </w:rPr>
              <w:t>四、平安法治（1</w:t>
            </w:r>
            <w:r>
              <w:rPr>
                <w:rStyle w:val="20"/>
                <w:rFonts w:hint="eastAsia" w:ascii="Times New Roman" w:hAnsi="Times New Roman" w:eastAsia="方正公文黑体" w:cs="Times New Roman"/>
                <w:color w:val="auto"/>
                <w:lang w:val="en-US" w:eastAsia="zh-CN"/>
              </w:rPr>
              <w:t>4</w:t>
            </w:r>
            <w:r>
              <w:rPr>
                <w:rStyle w:val="20"/>
                <w:rFonts w:ascii="Times New Roman" w:hAnsi="Times New Roman" w:eastAsia="方正公文黑体" w:cs="Times New Roman"/>
                <w:color w:val="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加强法治建设，推进依法行政，开展行政诉讼应诉工作。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开展基层综合行政执法，加强执法队伍和执法能力建设，落实行政执法“三项制度”，推进行政执法“综合查一次”。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加强全民普法宣教服务，实施乡村“法律明白人”培养工程，推进基层法治文化建设，开展公共法律服务。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贯彻落实总体国家安全观，开展维护国家安全的教育、动员和组织工作。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常态化开展扫黑除恶宣传教育和线索摸排工作。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落实“塞上枫桥”基层法治工作机制“1+1+3”固原实践和“4+N”乡村一体下沉联合化解工作机制，做好矛盾纠纷防范、排查、化解和回访工作，及时管控处置危及政治安全和社会稳定的突发事件。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依法成立乡镇人民调解委员会，统筹派出所、司法所、人民法庭等力量，做好人民调解工作。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加强治安保卫委员会的指导和监督，组织民兵、退役军人等参与维护社会治安。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完善信访联席工作会议机制，受理、办理信访人提出的信访事项，做好职权范围内信访人员疏导教育、帮扶救助、属地稳控等工作，建立健全信访应急预案，联动协同处置突发事件，督导各村履行信访维稳职责，常态化开展人民建议征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做好大型活动和重要时期公共安全维护，负责辖区重点人群管控、维护活动秩序、安保值守等工作，协助有关部门做好突发事件的应对处置。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开展禁毒宣传教育，牵头组织社会面吸毒人员风险评估，做好社区戒毒、社区康复工作，处置非法种植毒品原植物。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7</w:t>
            </w:r>
            <w:r>
              <w:rPr>
                <w:rFonts w:hint="eastAsia" w:ascii="Times New Roman" w:hAnsi="Times New Roman" w:eastAsia="宋体" w:cs="Times New Roman"/>
                <w:i w:val="0"/>
                <w:snapToGrid w:val="0"/>
                <w:color w:val="000000"/>
                <w:kern w:val="0"/>
                <w:sz w:val="21"/>
                <w:szCs w:val="21"/>
                <w:u w:val="none"/>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开展反邪教宣传教育和涉邪教人员的教育转化工作。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7</w:t>
            </w:r>
            <w:r>
              <w:rPr>
                <w:rFonts w:hint="eastAsia" w:ascii="Times New Roman" w:hAnsi="Times New Roman" w:eastAsia="宋体" w:cs="Times New Roman"/>
                <w:i w:val="0"/>
                <w:snapToGrid w:val="0"/>
                <w:color w:val="000000"/>
                <w:kern w:val="0"/>
                <w:sz w:val="21"/>
                <w:szCs w:val="21"/>
                <w:u w:val="none"/>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开展反电信网络诈骗宣传教育和风险防控工作。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7</w:t>
            </w:r>
            <w:r>
              <w:rPr>
                <w:rFonts w:hint="eastAsia" w:ascii="Times New Roman" w:hAnsi="Times New Roman" w:eastAsia="宋体" w:cs="Times New Roman"/>
                <w:i w:val="0"/>
                <w:snapToGrid w:val="0"/>
                <w:color w:val="000000"/>
                <w:kern w:val="0"/>
                <w:sz w:val="21"/>
                <w:szCs w:val="21"/>
                <w:u w:val="none"/>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落实与甘肃省</w:t>
            </w:r>
            <w:r>
              <w:rPr>
                <w:rFonts w:hint="eastAsia" w:ascii="Times New Roman" w:hAnsi="Times New Roman" w:eastAsia="方正公文仿宋" w:cs="Times New Roman"/>
                <w:b w:val="0"/>
                <w:bCs w:val="0"/>
                <w:i w:val="0"/>
                <w:snapToGrid w:val="0"/>
                <w:color w:val="000000"/>
                <w:kern w:val="0"/>
                <w:sz w:val="21"/>
                <w:szCs w:val="21"/>
                <w:u w:val="none"/>
                <w:lang w:val="en-US" w:eastAsia="zh-CN"/>
              </w:rPr>
              <w:t>平凉市</w:t>
            </w:r>
            <w:r>
              <w:rPr>
                <w:rFonts w:ascii="Times New Roman" w:hAnsi="Times New Roman" w:eastAsia="方正公文仿宋" w:cs="Times New Roman"/>
                <w:b w:val="0"/>
                <w:bCs w:val="0"/>
                <w:i w:val="0"/>
                <w:snapToGrid w:val="0"/>
                <w:color w:val="000000"/>
                <w:kern w:val="0"/>
                <w:sz w:val="21"/>
                <w:szCs w:val="21"/>
                <w:u w:val="none"/>
                <w:lang w:val="en-US" w:eastAsia="zh-CN"/>
              </w:rPr>
              <w:t>华亭市山寨乡、河西镇等周边县区和乡镇矛盾纠纷、社会稳定、森林防火联防联控机制。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ascii="Times New Roman" w:hAnsi="Times New Roman" w:eastAsia="方正公文仿宋" w:cs="Times New Roman"/>
                <w:b/>
                <w:bCs/>
                <w:i w:val="0"/>
                <w:snapToGrid w:val="0"/>
                <w:color w:val="000000"/>
                <w:kern w:val="0"/>
                <w:sz w:val="21"/>
                <w:szCs w:val="21"/>
                <w:u w:val="none"/>
                <w:lang w:val="en-US" w:eastAsia="zh-CN"/>
              </w:rPr>
            </w:pPr>
            <w:r>
              <w:rPr>
                <w:rStyle w:val="20"/>
                <w:rFonts w:ascii="Times New Roman" w:hAnsi="Times New Roman" w:eastAsia="方正公文黑体" w:cs="Times New Roman"/>
                <w:color w:val="auto"/>
                <w:lang w:val="en-US" w:eastAsia="zh-CN"/>
              </w:rPr>
              <w:t>五、乡村振兴（8项）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napToGrid w:val="0"/>
                <w:color w:val="000000"/>
                <w:kern w:val="0"/>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7</w:t>
            </w:r>
            <w:r>
              <w:rPr>
                <w:rFonts w:hint="eastAsia" w:ascii="Times New Roman" w:hAnsi="Times New Roman" w:eastAsia="宋体" w:cs="Times New Roman"/>
                <w:i w:val="0"/>
                <w:snapToGrid w:val="0"/>
                <w:color w:val="000000"/>
                <w:kern w:val="0"/>
                <w:sz w:val="21"/>
                <w:szCs w:val="21"/>
                <w:u w:val="none"/>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培育现代乡村产业，指导、扶持和服务农民专业合作社、家庭农场等新型经营主体发展，做好“土特产”文章，发展乡村种养殖业、加工流通业、休闲旅游业、乡村服务业。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7</w:t>
            </w:r>
            <w:r>
              <w:rPr>
                <w:rFonts w:hint="eastAsia" w:ascii="Times New Roman" w:hAnsi="Times New Roman" w:eastAsia="宋体" w:cs="Times New Roman"/>
                <w:i w:val="0"/>
                <w:snapToGrid w:val="0"/>
                <w:color w:val="000000"/>
                <w:kern w:val="0"/>
                <w:sz w:val="21"/>
                <w:szCs w:val="21"/>
                <w:u w:val="none"/>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落实粮食安全生产责任制，稳定粮食播种面积，完成粮食和重要农产品生产任务，核定上报耕地地力保护补贴、种粮农民一次性补贴。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7</w:t>
            </w:r>
            <w:r>
              <w:rPr>
                <w:rFonts w:hint="eastAsia" w:ascii="Times New Roman" w:hAnsi="Times New Roman" w:eastAsia="宋体" w:cs="Times New Roman"/>
                <w:i w:val="0"/>
                <w:snapToGrid w:val="0"/>
                <w:color w:val="000000"/>
                <w:kern w:val="0"/>
                <w:sz w:val="21"/>
                <w:szCs w:val="21"/>
                <w:u w:val="none"/>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负责农村土地承包经营及土地承包经营合同管理，依法开展农村土地经营权流转工作，调解和处理土地承包经营和土地经营权流转纠纷。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做好设施农业用地备案管理和设施农业项目监管工作。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组织实施农田水利基本建设，开展已移交乡村的水利基础设施巡查、管护工作。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8</w:t>
            </w:r>
            <w:r>
              <w:rPr>
                <w:rFonts w:hint="eastAsia" w:ascii="Times New Roman" w:hAnsi="Times New Roman" w:eastAsia="宋体" w:cs="Times New Roman"/>
                <w:i w:val="0"/>
                <w:snapToGrid w:val="0"/>
                <w:color w:val="000000"/>
                <w:kern w:val="0"/>
                <w:sz w:val="21"/>
                <w:szCs w:val="21"/>
                <w:u w:val="none"/>
                <w:lang w:val="en-US" w:eastAsia="zh-CN"/>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开展农业技术宣传、推广、培训工作，推进农药化肥减量增效和病虫害绿色防控，做好农业领域防灾减灾相关工作。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8</w:t>
            </w:r>
            <w:r>
              <w:rPr>
                <w:rFonts w:hint="eastAsia" w:ascii="Times New Roman" w:hAnsi="Times New Roman" w:eastAsia="宋体" w:cs="Times New Roman"/>
                <w:i w:val="0"/>
                <w:snapToGrid w:val="0"/>
                <w:color w:val="000000"/>
                <w:kern w:val="0"/>
                <w:sz w:val="21"/>
                <w:szCs w:val="21"/>
                <w:u w:val="none"/>
                <w:lang w:val="en-US"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巩固拓展脱贫攻坚成果同乡村振兴有效衔接，开展易返贫致贫人口动态监测预警，对符合条件的纳入监测对象并制定落实帮扶措施，做好帮扶项目资产的监督管理等相关工作。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开展农村人居环境整治和长效管理工作，综合整治农村水系、因地制宜推广卫生厕所和简便易行的垃圾分类，治理农村垃圾和污水，加强乡村无障碍设施建设，持续改善农村人居环境。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Style w:val="20"/>
                <w:rFonts w:ascii="Times New Roman" w:hAnsi="Times New Roman" w:eastAsia="方正公文黑体" w:cs="Times New Roman"/>
                <w:color w:val="auto"/>
                <w:lang w:val="en-US" w:eastAsia="zh-CN"/>
              </w:rPr>
              <w:t>六、民族宗教（8项）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全面深入持久开展党的民族理论、政策学习宣传，持续加强铸牢中华民族共同体意识宣传教育，开展民族团结进步创建，引导各族群众树立正确的国家观、历史观、民族观、文化观、宗教观，增进对伟大祖国、中华民族、中华文化、中国共产党、中国特色社会主义的认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8</w:t>
            </w:r>
            <w:r>
              <w:rPr>
                <w:rFonts w:hint="eastAsia" w:ascii="Times New Roman" w:hAnsi="Times New Roman" w:eastAsia="宋体" w:cs="Times New Roman"/>
                <w:i w:val="0"/>
                <w:snapToGrid w:val="0"/>
                <w:color w:val="000000"/>
                <w:kern w:val="0"/>
                <w:sz w:val="21"/>
                <w:szCs w:val="21"/>
                <w:u w:val="none"/>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用好区域特色文化和旅游资源禀赋，讲好红色故事、团结故事、发展故事，构建中华民族共有精神家园。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8</w:t>
            </w:r>
            <w:r>
              <w:rPr>
                <w:rFonts w:hint="eastAsia" w:ascii="Times New Roman" w:hAnsi="Times New Roman" w:eastAsia="宋体" w:cs="Times New Roman"/>
                <w:i w:val="0"/>
                <w:snapToGrid w:val="0"/>
                <w:color w:val="000000"/>
                <w:kern w:val="0"/>
                <w:sz w:val="21"/>
                <w:szCs w:val="21"/>
                <w:u w:val="none"/>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巩固和发展平等团结互助和谐的社会主义民族关系，依法治理民族事务，妥善处理涉及民族因素的矛盾纠纷，保障各民族合法权益，保障少数民族保持或者改革自己的风俗习惯的自由。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8</w:t>
            </w:r>
            <w:r>
              <w:rPr>
                <w:rFonts w:hint="eastAsia" w:ascii="Times New Roman" w:hAnsi="Times New Roman" w:eastAsia="宋体" w:cs="Times New Roman"/>
                <w:i w:val="0"/>
                <w:snapToGrid w:val="0"/>
                <w:color w:val="000000"/>
                <w:kern w:val="0"/>
                <w:sz w:val="21"/>
                <w:szCs w:val="21"/>
                <w:u w:val="none"/>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学习宣传贯彻党的宗教工作理论和方针政策以及法律、法规、规章，化解处置宗教领域矛盾纠纷。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8</w:t>
            </w:r>
            <w:r>
              <w:rPr>
                <w:rFonts w:hint="eastAsia" w:ascii="Times New Roman" w:hAnsi="Times New Roman" w:eastAsia="宋体" w:cs="Times New Roman"/>
                <w:i w:val="0"/>
                <w:snapToGrid w:val="0"/>
                <w:color w:val="000000"/>
                <w:kern w:val="0"/>
                <w:sz w:val="21"/>
                <w:szCs w:val="21"/>
                <w:u w:val="none"/>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加强基层宗教工作，建立健全宗教网络体系和乡村两级责任制。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8</w:t>
            </w:r>
            <w:r>
              <w:rPr>
                <w:rFonts w:hint="eastAsia" w:ascii="Times New Roman" w:hAnsi="Times New Roman" w:eastAsia="宋体" w:cs="Times New Roman"/>
                <w:i w:val="0"/>
                <w:snapToGrid w:val="0"/>
                <w:color w:val="000000"/>
                <w:kern w:val="0"/>
                <w:sz w:val="21"/>
                <w:szCs w:val="21"/>
                <w:u w:val="none"/>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指导宗教活动场所管理组织的成立、换届和成员调整，加强宗教教职人员的日常管理。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加强宗教活动场所日常</w:t>
            </w:r>
            <w:r>
              <w:rPr>
                <w:rFonts w:hint="eastAsia" w:ascii="Times New Roman" w:hAnsi="Times New Roman" w:eastAsia="方正公文仿宋" w:cs="Times New Roman"/>
                <w:b w:val="0"/>
                <w:bCs w:val="0"/>
                <w:i w:val="0"/>
                <w:snapToGrid w:val="0"/>
                <w:color w:val="000000"/>
                <w:kern w:val="0"/>
                <w:sz w:val="21"/>
                <w:szCs w:val="21"/>
                <w:u w:val="none"/>
                <w:lang w:val="en-US" w:eastAsia="zh-CN"/>
              </w:rPr>
              <w:t>管理</w:t>
            </w:r>
            <w:r>
              <w:rPr>
                <w:rFonts w:ascii="Times New Roman" w:hAnsi="Times New Roman" w:eastAsia="方正公文仿宋" w:cs="Times New Roman"/>
                <w:b w:val="0"/>
                <w:bCs w:val="0"/>
                <w:i w:val="0"/>
                <w:snapToGrid w:val="0"/>
                <w:color w:val="000000"/>
                <w:kern w:val="0"/>
                <w:sz w:val="21"/>
                <w:szCs w:val="21"/>
                <w:u w:val="none"/>
                <w:lang w:val="en-US" w:eastAsia="zh-CN"/>
              </w:rPr>
              <w:t>，开展日常安全检查，指导宗教活动场所管理组织依法办理土地、规划、建设、消防等手续。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加强宗教活动管理，做好活动期间秩序维护等工作，及时报告并协助有关部门查处非法宗教活动。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七、自然资源（9项）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9</w:t>
            </w:r>
            <w:r>
              <w:rPr>
                <w:rFonts w:hint="eastAsia" w:ascii="Times New Roman" w:hAnsi="Times New Roman" w:eastAsia="宋体" w:cs="Times New Roman"/>
                <w:i w:val="0"/>
                <w:snapToGrid w:val="0"/>
                <w:color w:val="000000"/>
                <w:kern w:val="0"/>
                <w:sz w:val="21"/>
                <w:szCs w:val="21"/>
                <w:u w:val="none"/>
                <w:lang w:val="en-US"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落实耕地保护职责，开展辖区内耕地和永久基本农田巡查，发现违法违规线索及时上报。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做好水资源开发、利用、节约和保护的宣传教育工作，对日常巡查中发现的破坏水资源、水质以及水生态环境的违法线索及时上报。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落实饮用水水源地保护责任，组织开展饮用水水源地保护宣传、巡查工作。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9</w:t>
            </w:r>
            <w:r>
              <w:rPr>
                <w:rFonts w:hint="eastAsia" w:ascii="Times New Roman" w:hAnsi="Times New Roman" w:eastAsia="宋体" w:cs="Times New Roman"/>
                <w:i w:val="0"/>
                <w:snapToGrid w:val="0"/>
                <w:color w:val="000000"/>
                <w:kern w:val="0"/>
                <w:sz w:val="21"/>
                <w:szCs w:val="21"/>
                <w:u w:val="none"/>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落实“四水四定”指标任务，负责农业灌溉工作。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9</w:t>
            </w:r>
            <w:r>
              <w:rPr>
                <w:rFonts w:hint="eastAsia" w:ascii="Times New Roman" w:hAnsi="Times New Roman" w:eastAsia="宋体" w:cs="Times New Roman"/>
                <w:i w:val="0"/>
                <w:snapToGrid w:val="0"/>
                <w:color w:val="000000"/>
                <w:kern w:val="0"/>
                <w:sz w:val="21"/>
                <w:szCs w:val="21"/>
                <w:u w:val="none"/>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落实“林长制”，开展日常巡查，发现火情、林业有害生物以及破坏林草资源的行为，及时处理并上报，做好护林员管理工作。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9</w:t>
            </w:r>
            <w:r>
              <w:rPr>
                <w:rFonts w:hint="eastAsia" w:ascii="Times New Roman" w:hAnsi="Times New Roman" w:eastAsia="宋体" w:cs="Times New Roman"/>
                <w:i w:val="0"/>
                <w:snapToGrid w:val="0"/>
                <w:color w:val="000000"/>
                <w:kern w:val="0"/>
                <w:sz w:val="21"/>
                <w:szCs w:val="21"/>
                <w:u w:val="none"/>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组织开展植树造林活动，加强农田防护林建设，按要求实施退耕还林还草，因地制宜实施森林生态修复工程，恢复植被。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9</w:t>
            </w:r>
            <w:r>
              <w:rPr>
                <w:rFonts w:hint="eastAsia" w:ascii="Times New Roman" w:hAnsi="Times New Roman" w:eastAsia="宋体" w:cs="Times New Roman"/>
                <w:i w:val="0"/>
                <w:snapToGrid w:val="0"/>
                <w:color w:val="000000"/>
                <w:kern w:val="0"/>
                <w:sz w:val="21"/>
                <w:szCs w:val="21"/>
                <w:u w:val="none"/>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负责基本农田保护管理工作，落实基本农田保护责任。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审核批准农村宅基地，依据权限调解土地、林（草）地所有权和使用权属、承包经营权纠纷。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组织开展湿地、野生动物保护宣传与巡查工作，发现违法行为及时制止并上报。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八、生态环保（10项）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10</w:t>
            </w:r>
            <w:r>
              <w:rPr>
                <w:rFonts w:hint="eastAsia" w:ascii="Times New Roman" w:hAnsi="Times New Roman" w:eastAsia="宋体" w:cs="Times New Roman"/>
                <w:i w:val="0"/>
                <w:snapToGrid w:val="0"/>
                <w:color w:val="000000"/>
                <w:kern w:val="0"/>
                <w:sz w:val="21"/>
                <w:szCs w:val="21"/>
                <w:u w:val="none"/>
                <w:lang w:val="en-US" w:eastAsia="zh-CN"/>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开展节能降碳工作，加强民用散煤的管理，推广使用清洁能源、可再生能源。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10</w:t>
            </w:r>
            <w:r>
              <w:rPr>
                <w:rFonts w:hint="eastAsia" w:ascii="Times New Roman" w:hAnsi="Times New Roman" w:eastAsia="宋体" w:cs="Times New Roman"/>
                <w:i w:val="0"/>
                <w:snapToGrid w:val="0"/>
                <w:color w:val="000000"/>
                <w:kern w:val="0"/>
                <w:sz w:val="21"/>
                <w:szCs w:val="21"/>
                <w:u w:val="none"/>
                <w:lang w:val="en-US"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落实“河湖长制”，开展河道、沟渠日常巡查，发现问题及时处理并上报。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10</w:t>
            </w:r>
            <w:r>
              <w:rPr>
                <w:rFonts w:hint="eastAsia" w:ascii="Times New Roman" w:hAnsi="Times New Roman" w:eastAsia="宋体" w:cs="Times New Roman"/>
                <w:i w:val="0"/>
                <w:snapToGrid w:val="0"/>
                <w:color w:val="000000"/>
                <w:kern w:val="0"/>
                <w:sz w:val="21"/>
                <w:szCs w:val="21"/>
                <w:u w:val="none"/>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对本行政区水环境质量负责，开展水污染防治，组织对畜禽散养密集区内的畜禽粪便污水进行分户收集、集中处理利用。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03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加强对建设施工和运输的管理，依据职责做好扬尘等大气污染防治相关工作。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10</w:t>
            </w:r>
            <w:r>
              <w:rPr>
                <w:rFonts w:hint="eastAsia" w:ascii="Times New Roman" w:hAnsi="Times New Roman" w:eastAsia="宋体" w:cs="Times New Roman"/>
                <w:i w:val="0"/>
                <w:snapToGrid w:val="0"/>
                <w:color w:val="000000"/>
                <w:kern w:val="0"/>
                <w:sz w:val="21"/>
                <w:szCs w:val="21"/>
                <w:u w:val="none"/>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加强土壤污染防治宣传教育和科学普及，增强公众土壤污染防治意识，引导公众依法参与土壤污染防治工作。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10</w:t>
            </w:r>
            <w:r>
              <w:rPr>
                <w:rFonts w:hint="eastAsia" w:ascii="Times New Roman" w:hAnsi="Times New Roman" w:eastAsia="宋体" w:cs="Times New Roman"/>
                <w:i w:val="0"/>
                <w:snapToGrid w:val="0"/>
                <w:color w:val="000000"/>
                <w:kern w:val="0"/>
                <w:sz w:val="21"/>
                <w:szCs w:val="21"/>
                <w:u w:val="none"/>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组织开展农业面源污染防治工作，推广保护性耕作技术，对农业生产过程中使用的农药、农膜等农业投入品的残留物或废弃物进行排查、督促回收。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10</w:t>
            </w:r>
            <w:r>
              <w:rPr>
                <w:rFonts w:hint="eastAsia" w:ascii="Times New Roman" w:hAnsi="Times New Roman" w:eastAsia="宋体" w:cs="Times New Roman"/>
                <w:i w:val="0"/>
                <w:snapToGrid w:val="0"/>
                <w:color w:val="000000"/>
                <w:kern w:val="0"/>
                <w:sz w:val="21"/>
                <w:szCs w:val="21"/>
                <w:u w:val="none"/>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开展秸秆综合利用工作，做好日常秸秆禁烧动态巡查，及时制止并上报秸秆焚烧违法行为。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10</w:t>
            </w:r>
            <w:r>
              <w:rPr>
                <w:rFonts w:hint="eastAsia" w:ascii="Times New Roman" w:hAnsi="Times New Roman" w:eastAsia="宋体" w:cs="Times New Roman"/>
                <w:i w:val="0"/>
                <w:snapToGrid w:val="0"/>
                <w:color w:val="000000"/>
                <w:kern w:val="0"/>
                <w:sz w:val="21"/>
                <w:szCs w:val="21"/>
                <w:u w:val="none"/>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负责禁牧封育和舍饲养殖的组织实施工作，开展巡查，发现违法行为及时制止并上报。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10</w:t>
            </w:r>
            <w:r>
              <w:rPr>
                <w:rFonts w:hint="eastAsia" w:ascii="Times New Roman" w:hAnsi="Times New Roman" w:eastAsia="宋体" w:cs="Times New Roman"/>
                <w:i w:val="0"/>
                <w:snapToGrid w:val="0"/>
                <w:color w:val="000000"/>
                <w:kern w:val="0"/>
                <w:sz w:val="21"/>
                <w:szCs w:val="21"/>
                <w:u w:val="none"/>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加强生态环境治理法治化，依法及时排查化解生态环境领域矛盾纠纷，协同防范打击生态环境领域违法犯罪行为。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09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协助县人民政府引进社会资本做好燕家山生态移民迁出区生态修复、生态治理和保护。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九、城乡建设（5项）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hint="eastAsia" w:ascii="Times New Roman" w:hAnsi="Times New Roman" w:eastAsia="宋体" w:cs="Times New Roman"/>
                <w:i w:val="0"/>
                <w:snapToGrid w:val="0"/>
                <w:color w:val="000000"/>
                <w:kern w:val="0"/>
                <w:sz w:val="21"/>
                <w:szCs w:val="21"/>
                <w:u w:val="none"/>
                <w:lang w:val="en-US" w:eastAsia="zh-CN"/>
              </w:rPr>
              <w:t>110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编制乡镇规划、村庄规划和控制性详细规划并组织实施，按照管理权限做好公共基础设施建设维护工作，依法处置乡镇、村庄规划区内的违规建设行为，做好违章建筑的拆除工作。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11</w:t>
            </w:r>
            <w:r>
              <w:rPr>
                <w:rFonts w:hint="eastAsia" w:ascii="Times New Roman" w:hAnsi="Times New Roman" w:eastAsia="宋体" w:cs="Times New Roman"/>
                <w:i w:val="0"/>
                <w:snapToGrid w:val="0"/>
                <w:color w:val="000000"/>
                <w:kern w:val="0"/>
                <w:sz w:val="21"/>
                <w:szCs w:val="21"/>
                <w:u w:val="none"/>
                <w:lang w:val="en-US"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按权限落实乡村工程项目招投标监督与施工管理。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11</w:t>
            </w:r>
            <w:r>
              <w:rPr>
                <w:rFonts w:hint="eastAsia" w:ascii="Times New Roman" w:hAnsi="Times New Roman" w:eastAsia="宋体" w:cs="Times New Roman"/>
                <w:i w:val="0"/>
                <w:snapToGrid w:val="0"/>
                <w:color w:val="000000"/>
                <w:kern w:val="0"/>
                <w:sz w:val="21"/>
                <w:szCs w:val="21"/>
                <w:u w:val="none"/>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按规定权限受理、审批农村村民建房、房屋翻建申请，对农民自建低层住宅施工活动实施监督管理。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11</w:t>
            </w:r>
            <w:r>
              <w:rPr>
                <w:rFonts w:hint="eastAsia" w:ascii="Times New Roman" w:hAnsi="Times New Roman" w:eastAsia="宋体" w:cs="Times New Roman"/>
                <w:i w:val="0"/>
                <w:snapToGrid w:val="0"/>
                <w:color w:val="000000"/>
                <w:kern w:val="0"/>
                <w:sz w:val="21"/>
                <w:szCs w:val="21"/>
                <w:u w:val="none"/>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开展道路交通安全教育，负责区域内乡道、村道建设申报。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11</w:t>
            </w:r>
            <w:r>
              <w:rPr>
                <w:rFonts w:hint="eastAsia" w:ascii="Times New Roman" w:hAnsi="Times New Roman" w:eastAsia="宋体" w:cs="Times New Roman"/>
                <w:i w:val="0"/>
                <w:snapToGrid w:val="0"/>
                <w:color w:val="000000"/>
                <w:kern w:val="0"/>
                <w:sz w:val="21"/>
                <w:szCs w:val="21"/>
                <w:u w:val="none"/>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开展农村公共停车场所、新能源汽车充电桩项目建设保障工作。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十、文化和旅游（4项）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宋体" w:cs="Times New Roman"/>
                <w:i w:val="0"/>
                <w:snapToGrid w:val="0"/>
                <w:color w:val="000000"/>
                <w:kern w:val="0"/>
                <w:sz w:val="21"/>
                <w:szCs w:val="21"/>
                <w:u w:val="none"/>
                <w:lang w:val="en-US" w:eastAsia="zh-CN"/>
              </w:rPr>
            </w:pPr>
            <w:r>
              <w:rPr>
                <w:rFonts w:ascii="Times New Roman" w:hAnsi="Times New Roman" w:eastAsia="宋体" w:cs="Times New Roman"/>
                <w:i w:val="0"/>
                <w:snapToGrid w:val="0"/>
                <w:color w:val="000000"/>
                <w:kern w:val="0"/>
                <w:sz w:val="21"/>
                <w:szCs w:val="21"/>
                <w:u w:val="none"/>
                <w:lang w:val="en-US" w:eastAsia="zh-CN"/>
              </w:rPr>
              <w:t>11</w:t>
            </w:r>
            <w:r>
              <w:rPr>
                <w:rFonts w:hint="eastAsia" w:ascii="Times New Roman" w:hAnsi="Times New Roman" w:eastAsia="宋体" w:cs="Times New Roman"/>
                <w:i w:val="0"/>
                <w:snapToGrid w:val="0"/>
                <w:color w:val="000000"/>
                <w:kern w:val="0"/>
                <w:sz w:val="21"/>
                <w:szCs w:val="21"/>
                <w:u w:val="none"/>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综合文化站（中心）的建设，健全完善乡村公共文化体育设施网络，负责公共文化体育设施的管理维护，组织开展形式多样的群众性文化体育、节日民俗、全民健身等活动，充分利用广播电视、视听网络和书籍报刊，拓展乡村文化服务渠道，提供便利可及的公共文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宋体" w:cs="Times New Roman"/>
                <w:i w:val="0"/>
                <w:snapToGrid w:val="0"/>
                <w:color w:val="000000"/>
                <w:kern w:val="0"/>
                <w:sz w:val="21"/>
                <w:szCs w:val="21"/>
                <w:u w:val="none"/>
                <w:lang w:val="en-US" w:eastAsia="zh-CN"/>
              </w:rPr>
            </w:pPr>
            <w:r>
              <w:rPr>
                <w:rFonts w:ascii="Times New Roman" w:hAnsi="Times New Roman" w:eastAsia="宋体" w:cs="Times New Roman"/>
                <w:i w:val="0"/>
                <w:snapToGrid w:val="0"/>
                <w:color w:val="000000"/>
                <w:kern w:val="0"/>
                <w:sz w:val="21"/>
                <w:szCs w:val="21"/>
                <w:u w:val="none"/>
                <w:lang w:val="en-US" w:eastAsia="zh-CN"/>
              </w:rPr>
              <w:t>11</w:t>
            </w:r>
            <w:r>
              <w:rPr>
                <w:rFonts w:hint="eastAsia" w:ascii="Times New Roman" w:hAnsi="Times New Roman" w:eastAsia="宋体" w:cs="Times New Roman"/>
                <w:i w:val="0"/>
                <w:snapToGrid w:val="0"/>
                <w:color w:val="000000"/>
                <w:kern w:val="0"/>
                <w:sz w:val="21"/>
                <w:szCs w:val="21"/>
                <w:u w:val="none"/>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加大农业文化遗产和非物质文化遗产保护力度，挖掘优秀农业文化内涵，弘扬红色文化，传承和发展优秀传统文化。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宋体" w:cs="Times New Roman"/>
                <w:i w:val="0"/>
                <w:snapToGrid w:val="0"/>
                <w:color w:val="000000"/>
                <w:kern w:val="0"/>
                <w:sz w:val="21"/>
                <w:szCs w:val="21"/>
                <w:u w:val="none"/>
                <w:lang w:val="en-US" w:eastAsia="zh-CN"/>
              </w:rPr>
            </w:pPr>
            <w:r>
              <w:rPr>
                <w:rFonts w:ascii="Times New Roman" w:hAnsi="Times New Roman" w:eastAsia="宋体" w:cs="Times New Roman"/>
                <w:i w:val="0"/>
                <w:snapToGrid w:val="0"/>
                <w:color w:val="000000"/>
                <w:kern w:val="0"/>
                <w:sz w:val="21"/>
                <w:szCs w:val="21"/>
                <w:u w:val="none"/>
                <w:lang w:val="en-US" w:eastAsia="zh-CN"/>
              </w:rPr>
              <w:t>11</w:t>
            </w:r>
            <w:r>
              <w:rPr>
                <w:rFonts w:hint="eastAsia" w:ascii="Times New Roman" w:hAnsi="Times New Roman" w:eastAsia="宋体" w:cs="Times New Roman"/>
                <w:i w:val="0"/>
                <w:snapToGrid w:val="0"/>
                <w:color w:val="000000"/>
                <w:kern w:val="0"/>
                <w:sz w:val="21"/>
                <w:szCs w:val="21"/>
                <w:u w:val="none"/>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落实旅游产业发展规划，支持和发展乡村旅游，讲好本地文化旅游故事。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宋体" w:cs="Times New Roman"/>
                <w:i w:val="0"/>
                <w:snapToGrid w:val="0"/>
                <w:color w:val="000000"/>
                <w:kern w:val="0"/>
                <w:sz w:val="21"/>
                <w:szCs w:val="21"/>
                <w:u w:val="none"/>
                <w:lang w:val="en-US" w:eastAsia="zh-CN"/>
              </w:rPr>
            </w:pPr>
            <w:r>
              <w:rPr>
                <w:rFonts w:ascii="Times New Roman" w:hAnsi="Times New Roman" w:eastAsia="宋体" w:cs="Times New Roman"/>
                <w:i w:val="0"/>
                <w:snapToGrid w:val="0"/>
                <w:color w:val="000000"/>
                <w:kern w:val="0"/>
                <w:sz w:val="21"/>
                <w:szCs w:val="21"/>
                <w:u w:val="none"/>
                <w:lang w:val="en-US" w:eastAsia="zh-CN"/>
              </w:rPr>
              <w:t>11</w:t>
            </w:r>
            <w:r>
              <w:rPr>
                <w:rFonts w:hint="eastAsia" w:ascii="Times New Roman" w:hAnsi="Times New Roman" w:eastAsia="宋体" w:cs="Times New Roman"/>
                <w:i w:val="0"/>
                <w:snapToGrid w:val="0"/>
                <w:color w:val="000000"/>
                <w:kern w:val="0"/>
                <w:sz w:val="21"/>
                <w:szCs w:val="21"/>
                <w:u w:val="none"/>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加强文物保护政策宣传，发现疑似文物或破坏文物情况及时保护现场并上报文物主管部门。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十一、卫生健康（4项）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开展爱国卫生运动和健康促进行动，进行健康教育宣传普及，开展病媒生物防治、禁控烟等工作，加强环境卫生建设。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组织开展预防精神障碍发生、促进精神障碍患者康复、为生活困难家庭提供帮助等工作。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12</w:t>
            </w:r>
            <w:r>
              <w:rPr>
                <w:rFonts w:hint="eastAsia" w:ascii="Times New Roman" w:hAnsi="Times New Roman" w:eastAsia="宋体" w:cs="Times New Roman"/>
                <w:i w:val="0"/>
                <w:snapToGrid w:val="0"/>
                <w:color w:val="000000"/>
                <w:kern w:val="0"/>
                <w:sz w:val="21"/>
                <w:szCs w:val="21"/>
                <w:u w:val="none"/>
                <w:lang w:val="en-US"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依法依规做好传染病预防和其他公共卫生工作，做好疫情信息的收集报告、人员的分散隔离、公共卫生措施的落实工作，向村民宣传传染病防治的相关知识，防范突发事件的发生。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12</w:t>
            </w:r>
            <w:r>
              <w:rPr>
                <w:rFonts w:hint="eastAsia" w:ascii="Times New Roman" w:hAnsi="Times New Roman" w:eastAsia="宋体" w:cs="Times New Roman"/>
                <w:i w:val="0"/>
                <w:snapToGrid w:val="0"/>
                <w:color w:val="000000"/>
                <w:kern w:val="0"/>
                <w:sz w:val="21"/>
                <w:szCs w:val="21"/>
                <w:u w:val="none"/>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组织协调村委会做好流浪犬、猫的控制和处置，做好农村地区饲养犬只的防疫管理工作。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十二、应急管理及消防（4项）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12</w:t>
            </w:r>
            <w:r>
              <w:rPr>
                <w:rFonts w:hint="eastAsia" w:ascii="Times New Roman" w:hAnsi="Times New Roman" w:eastAsia="宋体" w:cs="Times New Roman"/>
                <w:i w:val="0"/>
                <w:snapToGrid w:val="0"/>
                <w:color w:val="000000"/>
                <w:kern w:val="0"/>
                <w:sz w:val="21"/>
                <w:szCs w:val="21"/>
                <w:u w:val="none"/>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安置以及应急知识宣传普及等应急管理工作、社会治安秩序维护和灾后受灾群众生产生活恢复工作，做到“预防在先、发现在早、处置在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12</w:t>
            </w:r>
            <w:r>
              <w:rPr>
                <w:rFonts w:hint="eastAsia" w:ascii="Times New Roman" w:hAnsi="Times New Roman" w:eastAsia="宋体" w:cs="Times New Roman"/>
                <w:i w:val="0"/>
                <w:snapToGrid w:val="0"/>
                <w:color w:val="000000"/>
                <w:kern w:val="0"/>
                <w:sz w:val="21"/>
                <w:szCs w:val="21"/>
                <w:u w:val="none"/>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消防安全责任制，加强对农村消防工作的领导，指导、支持和帮助村委会开展群众性的消防工作，根据需要建立专职消防队、志愿消防队，承担火灾扑救、应急救援、疏散群众等职能，并开展消防宣传、消防演练、防火巡查、督促隐患整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12</w:t>
            </w:r>
            <w:r>
              <w:rPr>
                <w:rFonts w:hint="eastAsia" w:ascii="Times New Roman" w:hAnsi="Times New Roman" w:eastAsia="宋体" w:cs="Times New Roman"/>
                <w:i w:val="0"/>
                <w:snapToGrid w:val="0"/>
                <w:color w:val="000000"/>
                <w:kern w:val="0"/>
                <w:sz w:val="21"/>
                <w:szCs w:val="21"/>
                <w:u w:val="none"/>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开展森林草原防火宣传、普及森林草原防火法律法规和避险知识，发挥群防作用。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12</w:t>
            </w:r>
            <w:r>
              <w:rPr>
                <w:rFonts w:hint="eastAsia" w:ascii="Times New Roman" w:hAnsi="Times New Roman" w:eastAsia="宋体" w:cs="Times New Roman"/>
                <w:i w:val="0"/>
                <w:snapToGrid w:val="0"/>
                <w:color w:val="000000"/>
                <w:kern w:val="0"/>
                <w:sz w:val="21"/>
                <w:szCs w:val="21"/>
                <w:u w:val="none"/>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做好气象等灾害防御工作，按照相关部署开展气象灾害防御知识宣传、应急联络、信息传递、灾害报告和灾情调查等工作。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lang w:val="en-US" w:eastAsia="zh-CN"/>
              </w:rPr>
            </w:pPr>
            <w:r>
              <w:rPr>
                <w:rStyle w:val="20"/>
                <w:rFonts w:ascii="Times New Roman" w:hAnsi="Times New Roman" w:eastAsia="方正公文黑体" w:cs="Times New Roman"/>
                <w:color w:val="auto"/>
                <w:lang w:val="en-US" w:eastAsia="zh-CN"/>
              </w:rPr>
              <w:t>十三、综合政务（10项）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12</w:t>
            </w:r>
            <w:r>
              <w:rPr>
                <w:rFonts w:hint="eastAsia" w:ascii="Times New Roman" w:hAnsi="Times New Roman" w:eastAsia="宋体" w:cs="Times New Roman"/>
                <w:i w:val="0"/>
                <w:snapToGrid w:val="0"/>
                <w:color w:val="000000"/>
                <w:kern w:val="0"/>
                <w:sz w:val="21"/>
                <w:szCs w:val="21"/>
                <w:u w:val="none"/>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负责公文处理、信息报送、文稿起草、审核签发、档案、印章管理等日常政务工作。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12</w:t>
            </w:r>
            <w:r>
              <w:rPr>
                <w:rFonts w:hint="eastAsia" w:ascii="Times New Roman" w:hAnsi="Times New Roman" w:eastAsia="宋体" w:cs="Times New Roman"/>
                <w:i w:val="0"/>
                <w:snapToGrid w:val="0"/>
                <w:color w:val="000000"/>
                <w:kern w:val="0"/>
                <w:sz w:val="21"/>
                <w:szCs w:val="21"/>
                <w:u w:val="none"/>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落实保密工作责任，健全保密管理制度，完善保密防护措施，开展保密宣传教育，筑牢保密工作基层防线。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w:t>
            </w:r>
            <w:r>
              <w:rPr>
                <w:rFonts w:hint="eastAsia" w:ascii="Times New Roman" w:hAnsi="Times New Roman" w:eastAsia="宋体" w:cs="Times New Roman"/>
                <w:i w:val="0"/>
                <w:snapToGrid w:val="0"/>
                <w:color w:val="000000"/>
                <w:kern w:val="0"/>
                <w:sz w:val="21"/>
                <w:szCs w:val="21"/>
                <w:u w:val="none"/>
                <w:lang w:val="en-US" w:eastAsia="zh-CN"/>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对公共场所悬挂的党徽党旗、国徽国旗使用情况开展排查，对不规范使用的行为督促整改。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13</w:t>
            </w:r>
            <w:r>
              <w:rPr>
                <w:rFonts w:hint="eastAsia" w:ascii="Times New Roman" w:hAnsi="Times New Roman" w:eastAsia="宋体" w:cs="Times New Roman"/>
                <w:i w:val="0"/>
                <w:snapToGrid w:val="0"/>
                <w:color w:val="000000"/>
                <w:kern w:val="0"/>
                <w:sz w:val="21"/>
                <w:szCs w:val="21"/>
                <w:u w:val="none"/>
                <w:lang w:val="en-US" w:eastAsia="zh-CN"/>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落实政务公开制度，做好本行政机关政府信息公开的日常工作。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13</w:t>
            </w:r>
            <w:r>
              <w:rPr>
                <w:rFonts w:hint="eastAsia" w:ascii="Times New Roman" w:hAnsi="Times New Roman" w:eastAsia="宋体" w:cs="Times New Roman"/>
                <w:i w:val="0"/>
                <w:snapToGrid w:val="0"/>
                <w:color w:val="000000"/>
                <w:kern w:val="0"/>
                <w:sz w:val="21"/>
                <w:szCs w:val="21"/>
                <w:u w:val="none"/>
                <w:lang w:val="en-US"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负责本单位安全保卫工作，落实24小时值班值守和紧急信息报送制度，对突发事件及时上报并进行先期处置。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13</w:t>
            </w:r>
            <w:r>
              <w:rPr>
                <w:rFonts w:hint="eastAsia" w:ascii="Times New Roman" w:hAnsi="Times New Roman" w:eastAsia="宋体" w:cs="Times New Roman"/>
                <w:i w:val="0"/>
                <w:snapToGrid w:val="0"/>
                <w:color w:val="000000"/>
                <w:kern w:val="0"/>
                <w:sz w:val="21"/>
                <w:szCs w:val="21"/>
                <w:u w:val="none"/>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开展年鉴及地情文献资料收集、整理、编撰报送以及史志资料收集工作。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13</w:t>
            </w:r>
            <w:r>
              <w:rPr>
                <w:rFonts w:hint="eastAsia" w:ascii="Times New Roman" w:hAnsi="Times New Roman" w:eastAsia="宋体" w:cs="Times New Roman"/>
                <w:i w:val="0"/>
                <w:snapToGrid w:val="0"/>
                <w:color w:val="000000"/>
                <w:kern w:val="0"/>
                <w:sz w:val="21"/>
                <w:szCs w:val="21"/>
                <w:u w:val="none"/>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建设节约型机关，加强用水用电和办公用房管理，推进无纸化办公，做好办公耗材的回收利用。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13</w:t>
            </w:r>
            <w:r>
              <w:rPr>
                <w:rFonts w:hint="eastAsia" w:ascii="Times New Roman" w:hAnsi="Times New Roman" w:eastAsia="宋体" w:cs="Times New Roman"/>
                <w:i w:val="0"/>
                <w:snapToGrid w:val="0"/>
                <w:color w:val="000000"/>
                <w:kern w:val="0"/>
                <w:sz w:val="21"/>
                <w:szCs w:val="21"/>
                <w:u w:val="none"/>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做好政府采购管理，根据采购目录和采购限额标准开展采购工作。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13</w:t>
            </w:r>
            <w:r>
              <w:rPr>
                <w:rFonts w:hint="eastAsia" w:ascii="Times New Roman" w:hAnsi="Times New Roman" w:eastAsia="宋体" w:cs="Times New Roman"/>
                <w:i w:val="0"/>
                <w:snapToGrid w:val="0"/>
                <w:color w:val="000000"/>
                <w:kern w:val="0"/>
                <w:sz w:val="21"/>
                <w:szCs w:val="21"/>
                <w:u w:val="none"/>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负责固定资产新增、报废、盘点、调剂、划拨等综合管理。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黑体" w:cs="Times New Roman"/>
                <w:sz w:val="21"/>
                <w:szCs w:val="21"/>
                <w:lang w:val="en-US" w:eastAsia="zh-CN"/>
              </w:rPr>
            </w:pPr>
            <w:r>
              <w:rPr>
                <w:rFonts w:ascii="Times New Roman" w:hAnsi="Times New Roman" w:eastAsia="宋体" w:cs="Times New Roman"/>
                <w:i w:val="0"/>
                <w:snapToGrid w:val="0"/>
                <w:color w:val="000000"/>
                <w:kern w:val="0"/>
                <w:sz w:val="21"/>
                <w:szCs w:val="21"/>
                <w:u w:val="none"/>
                <w:lang w:val="en-US" w:eastAsia="zh-CN"/>
              </w:rPr>
              <w:t>13</w:t>
            </w:r>
            <w:r>
              <w:rPr>
                <w:rFonts w:hint="eastAsia" w:ascii="Times New Roman" w:hAnsi="Times New Roman" w:eastAsia="宋体" w:cs="Times New Roman"/>
                <w:i w:val="0"/>
                <w:snapToGrid w:val="0"/>
                <w:color w:val="000000"/>
                <w:kern w:val="0"/>
                <w:sz w:val="21"/>
                <w:szCs w:val="21"/>
                <w:u w:val="none"/>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b w:val="0"/>
                <w:bCs w:val="0"/>
                <w:i w:val="0"/>
                <w:snapToGrid w:val="0"/>
                <w:color w:val="000000"/>
                <w:kern w:val="0"/>
                <w:sz w:val="21"/>
                <w:szCs w:val="21"/>
                <w:u w:val="none"/>
                <w:lang w:val="en-US" w:eastAsia="zh-CN"/>
              </w:rPr>
            </w:pPr>
            <w:r>
              <w:rPr>
                <w:rFonts w:ascii="Times New Roman" w:hAnsi="Times New Roman" w:eastAsia="方正公文仿宋" w:cs="Times New Roman"/>
                <w:b w:val="0"/>
                <w:bCs w:val="0"/>
                <w:i w:val="0"/>
                <w:snapToGrid w:val="0"/>
                <w:color w:val="000000"/>
                <w:kern w:val="0"/>
                <w:sz w:val="21"/>
                <w:szCs w:val="21"/>
                <w:u w:val="none"/>
                <w:lang w:val="en-US" w:eastAsia="zh-CN"/>
              </w:rPr>
              <w:t>做好12345热线平台诉求办理，落实督查督办事项和巡视巡察、审计等反馈问题整改。</w:t>
            </w:r>
          </w:p>
        </w:tc>
      </w:tr>
    </w:tbl>
    <w:p>
      <w:pPr>
        <w:pStyle w:val="3"/>
        <w:keepNext/>
        <w:keepLines/>
        <w:pageBreakBefore w:val="0"/>
        <w:widowControl/>
        <w:kinsoku/>
        <w:wordWrap/>
        <w:overflowPunct/>
        <w:topLinePunct w:val="0"/>
        <w:autoSpaceDE w:val="0"/>
        <w:autoSpaceDN w:val="0"/>
        <w:bidi w:val="0"/>
        <w:adjustRightInd w:val="0"/>
        <w:snapToGrid w:val="0"/>
        <w:spacing w:before="0" w:after="0" w:line="240" w:lineRule="auto"/>
        <w:jc w:val="center"/>
        <w:rPr>
          <w:rFonts w:ascii="Times New Roman" w:hAnsi="Times New Roman" w:eastAsia="方正小标宋_GBK" w:cs="Times New Roman"/>
          <w:color w:val="auto"/>
          <w:lang w:eastAsia="zh-CN"/>
        </w:rPr>
      </w:pPr>
      <w:r>
        <w:rPr>
          <w:rFonts w:ascii="Times New Roman" w:hAnsi="Times New Roman" w:eastAsia="方正小标宋_GBK" w:cs="Times New Roman"/>
          <w:color w:val="auto"/>
          <w:lang w:eastAsia="zh-CN"/>
        </w:rPr>
        <w:br w:type="page"/>
      </w:r>
      <w:bookmarkStart w:id="4" w:name="_Toc176767294"/>
      <w:bookmarkStart w:id="5" w:name="_Toc172077417"/>
      <w:bookmarkStart w:id="6" w:name="_Toc172077552"/>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2"/>
        <w:tblW w:w="14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7"/>
        <w:gridCol w:w="1814"/>
        <w:gridCol w:w="1814"/>
        <w:gridCol w:w="4842"/>
        <w:gridCol w:w="4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序号</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事项名称</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对应上级部门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上级部门职责</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lang w:eastAsia="zh-CN"/>
              </w:rPr>
            </w:pPr>
            <w:r>
              <w:rPr>
                <w:rFonts w:hint="eastAsia" w:ascii="Times New Roman" w:hAnsi="Times New Roman" w:eastAsia="方正公文黑体"/>
                <w:color w:val="auto"/>
                <w:lang w:eastAsia="zh-CN"/>
              </w:rPr>
              <w:t>乡镇</w:t>
            </w:r>
            <w:r>
              <w:rPr>
                <w:rFonts w:ascii="Times New Roman" w:hAnsi="Times New Roman" w:eastAsia="方正公文黑体"/>
                <w:color w:val="auto"/>
                <w:lang w:eastAsia="zh-CN"/>
              </w:rPr>
              <w:t>（</w:t>
            </w:r>
            <w:r>
              <w:rPr>
                <w:rFonts w:hint="eastAsia" w:ascii="Times New Roman" w:hAnsi="Times New Roman" w:eastAsia="方正公文黑体"/>
                <w:color w:val="auto"/>
                <w:lang w:eastAsia="zh-CN"/>
              </w:rPr>
              <w:t>街道）</w:t>
            </w:r>
            <w:r>
              <w:rPr>
                <w:rFonts w:ascii="Times New Roman" w:hAnsi="Times New Roman" w:eastAsia="方正公文黑体"/>
                <w:color w:val="auto"/>
                <w:lang w:eastAsia="zh-CN"/>
              </w:rPr>
              <w:t>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textAlignment w:val="center"/>
              <w:rPr>
                <w:rFonts w:ascii="Times New Roman" w:hAnsi="Times New Roman" w:eastAsia="方正公文黑体"/>
                <w:color w:val="auto"/>
                <w:lang w:eastAsia="zh-CN"/>
              </w:rPr>
            </w:pPr>
            <w:r>
              <w:rPr>
                <w:rStyle w:val="20"/>
                <w:rFonts w:hint="eastAsia" w:hAnsi="方正公文黑体" w:eastAsia="方正公文黑体"/>
                <w:color w:val="auto"/>
                <w:lang w:eastAsia="zh-CN"/>
              </w:rPr>
              <w:t>一、民生服务（</w:t>
            </w:r>
            <w:r>
              <w:rPr>
                <w:rStyle w:val="20"/>
                <w:rFonts w:hint="eastAsia" w:ascii="Times New Roman" w:hAnsi="方正公文黑体" w:eastAsia="方正公文黑体"/>
                <w:color w:val="auto"/>
                <w:lang w:val="en-US" w:eastAsia="zh-CN"/>
              </w:rPr>
              <w:t>4</w:t>
            </w:r>
            <w:r>
              <w:rPr>
                <w:rStyle w:val="20"/>
                <w:rFonts w:hint="eastAsia" w:hAnsi="方正公文黑体" w:eastAsia="方正公文黑体"/>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流浪乞讨人员救助</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对乡镇上报流浪乞讨人员进行汇总、核查；</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对符合条件人员进行救助，对不符合条件人员告知理由。</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发现、上报流浪乞讨人员信息；</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对本辖区有监护人的流浪乞讨人员进行帮扶安置。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开展散居老人能力评估</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负责开展社会化养老、特困人员全面核查及探访关怀、散居老人能力评估。</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配合组织人员参加评估；</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宣传社会化养老政策。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创业担保贷款审批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会同经办银行对申请人员的项目规模、经营收入、社会保险缴纳、社会信用、负债等情况进行实地考察评估后发放贷款。</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核实上报申请人员信息。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离校未就业毕业生、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两后生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毕业去向核实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统筹提供就业信息。</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核实</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两后生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就业情况；</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宣传职业供求信息，动员积极就业。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二、平安法治（6项）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涉行业部门信访事项办理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县信访局及有关行业部门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县信访局：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1.受理、转送、交办信访事项；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2.协调解决重要信访问题；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3.督促检查重要信访事项的处理和落实；</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4.综合反映信访信息，分析研判信访形势，为党委和政府提供决策参考；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5.指导本级其他机关、单位和下级的信访工作；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6.提出改进工作、完善政策和追究责任的建议；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 xml:space="preserve">7.承担本级党委和政府交办的其他事项。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县信访联席会议各成员单位：做好各自职责范围内的信访工作，按照规定及时受理办理信访事项，预防和化解政策性、群体性信访问题，加强对下级机关、单位信访工作的指导。</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配合行业部门做好人员稳控工作。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防范和处置非法集资</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1.负责协调本级防范和处置非法集资工作，汇总、上报有关工作信息；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2.全面做好非法集资风险排查和监测预警工作，加强政策解读，通报相关形势，统筹做好宣传教育工作，提高防范非法集资宣传教育的针对性、有效性；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3.完成上级部门交办的各项防范和处置非法集资工作。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县公安局：负责对涉嫌非法集资的案件进行立案侦查，依法打击犯罪分子，保护受害者的合法权益。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县市场监督管理局：开展涉嫌非法集资广告资讯信息排查、处理工作。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1.明确负责防范和处置非法集资的工作人员；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2.开展防范非法集资宣传工作；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3.建立健全日常巡查、专项检查、随机抽查和集中排查等多种方式的主动风险排查机制，发现所在区域有涉嫌非法集资行为的，及时上报。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打击传销</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县市场监督管理局：依法查处为传销行为提供经营场所、培训场所、货源储存等条件的行为,对涉嫌犯罪的依法移送公安机关立案侦查。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县公安局：立案侦查传销案件，对经侦查不构成犯罪的，应当依法移交市场监督管理局查处。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1.开展防范非法传销政策宣传，发现问题线索及时上报；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2.协助有关部门查处传销行为。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扫黄打非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县委宣传部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1.传达落实上级文件精神，开展“扫黄打非”进基层宣传工作；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2.制定工作计划，定期召开“扫黄打非”专题会议，研判“扫黄打非”工作新形势；</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3.开展线上线下巡查工作，发现非法有害出版物和不良信息及时向上级“扫黄打非”相关部门汇报并配合执法部门依法查处。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1.负责“扫黄打非”宣传工作；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2.发现问题线索及时上报主管部门。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校外培训机构监督管理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县教育体育局：负责查处未取得办学许可证违法经营的机构，并在做好办学许可证审批工作基础上，重点做好培训内容、培训班次、招生对象、教师资格及培训行为的监管工作，牵头组织校外培训市场综合执法。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县文化旅游广电局：做好艺术类校外培训机构的培训业务指导工作。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县市场监督管理局：重点做好相关登记、收费、广告宣传、反垄断等方面的监管工作。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1.将校外培训机构巡查纳入网格员日常工作，发现问题及时劝导制止，并上报给县教育体育局；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2.协助相关部门及时核实投诉举报；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3.协助各行业主管部门开展校外培训机构综合整治。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校园周边安全治理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县教育体育局：指导监督学校依法健全各项安全管理制度。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县公安局：对校园周边出租房屋、宾馆、酒店等重点场所清理整治，落实“护学岗”高峰勤务，配合清理校园周边各类违规培训班、托管班。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县市场监督管理局：负责校园周边经营单位食品安全、产品质量安全的监督管理。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县城乡建设和交通运输局：负责校园周边占道经营违法行为的查处。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1.开展校园周边防火、用水、用电、饮食卫生、交通安全等方面的宣传教育活动；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2.开展未成年人防溺水安全知识宣传，危险水域巡查、管控；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3.配合落实校园周边安全治理相关措施。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三、乡村振兴（11项）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农产品质量安全监管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1.负责食用农产品从种植养殖环节到进入批发、零售市场或者生产加工企业前的质量安全监督管理；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2.负责兽药、饲料添加剂、农药、肥料等其他农业投入品质量及使用的监督管理；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3.负责动植物疫病防控、畜禽屠宰环节、生鲜乳收购环节质量安全监督管理。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县市场监督管理局：负责对农业流通领域食用农产品经营、食品生产经营活动实施监督管理。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县卫生健康局、县农业农村局、县工业信息化和商务局：依照各自的工作职责，做好食用农产品食品监督管理工作。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1.开展质量安全控制技术指导服务及培训宣传；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2.发生农产品质量安全事故时，应当及时处理并报上级有关部门。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重大动物疫情的封锁、控制、扑灭</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1.重大动物疫情发生后，立即派专业人员到现场，划定疫点、疫区和受威胁区，调查疫源，向本级人民政府提出启动重大动物疫情应急指挥系统、应急预案和对疫区实行封锁的建议；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2.设置临时动物检疫消毒站以及采取隔离、扑杀、销毁、消毒、紧急免疫接种等控制、扑灭措施；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自疫区内最后一头（只）发病动物及其同群动物处理完毕起，经过一个潜伏期以上的监测，未出现新的病例的，彻底消毒后，申请由上一级动物防疫监督机构验收合格后，提请原发布封锁令的人民政府宣布解除封锁，撤销疫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1.宣传动物疫病防治相关知识，加强日常巡查，发现异常情况及时上报；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2.发生重大动物疫情时，协助做好疫情信息的收集工作；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3.组织力量，协助做好疫情信息各项应急处理措施的落实工作。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脱贫小额贷款风险防控</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1.对乡镇上报贷款信息进行系统录入；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2.每月对小额信贷贷款情况进行通报；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3.对小额信贷风险进行防控，及时按照协议规定，在银行注入风险补偿金。</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1.宣传贷款政策；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2.定期提醒农户按期还款付息。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对集体资产产权引起的争议的处理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1.指导村集体建立村集体资产管理台账，做好资产管理；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2.对村集体资产定期开展审计、审查；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3.对村集体资产产权引起的争议进行调处。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1.建立健全村集体资产管理制度；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2.每年开展一次村集体“三资”清查；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3.配合做好集体资产产权引起的争议的调处工作。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农作物病虫害防治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1.组织开展农作物病虫害监测并及时向上级部门报告监测信息，发布农作物病虫害预报；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2.组织制定本行政区域农作物病虫害预防控制方案，健全农作物病虫害防治体系；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3.为农业生产经营者提供技术培训、指导、服务，指导农业生产经营者选用抗病、抗虫品种等健康栽培管理措施预防病虫害；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4.病虫害严重发生时，及时组织、指导有关单位和个人采取统防统治等控制措施。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1.深入田间地头做好技术宣传培训，指导安全用药，加强“飞防”作业监管等；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2.协助做好农作物病虫害监测预报工作，发现问题及时上报农业农村部门；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3.配合农业农村部门落实“农作物重大病虫害防控”等防治项目，组织农户参与防治工作。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畜牧业、渔业生产监管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1.负责畜牧业、渔业生产发展技术的引进，饲草种植和利用技术及动物防疫新技术示范、推广服务工作；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2.负责对畜禽饲养环境、种畜禽质量、畜禽交易与运输、畜禽屠宰以及饲料、饲料添加剂、兽药等投入品的生产、经营、使用的监督管理。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1.开展畜牧业、渔业日常巡查，发现问题及时上报；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2.配合指导养殖场（户）建立健全档案资料。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对农业生产领域安全生产检查监管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县农业农村局：牵头负责农业生产领域安全生产的监督管理，统筹各部门对各类安全生产隐患和违法行为进行查处。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县应急管理局：按照职责对辖区内农业生产领域安全生产工作实施综合监督管理。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县市场监督管理局：负责农业生产领域证照、特种设备的监督管理，对安全隐患和违法行为进行查处。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县城乡建设和交通运输局：对农业生产领域建筑安全进行监督管理，对安全隐患和违法行为进行查处。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1.对本辖区大棚房等农业生产领域进行安全检查；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2.发现安全生产隐患和违法行为，对具备处置能力的及时制止，责令限期整改；对拒不整改、存在重大安全隐患等情形的及时上报有关部门。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畜禽私屠滥宰的监督管理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县农业农村局：加强畜禽屠宰质量安全管理，抽查畜禽屠宰经营者是否违法经营，对私屠滥宰行为依法进行处理。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县市场监督管理局：查处市场、餐饮环节销售或使用未经检疫肉类的行为。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县公安局：对涉嫌犯罪的私屠滥宰行为（如非法经营、危害食品安全罪）追究刑事责任。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配合相关部门开展巡查、线索摸排、违法现场保护等工作。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金融帮扶工作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国家金融监管总局泾源分局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1.积极推进金融帮扶工作，调查核实乡镇上报农户资格并审批备案；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2.积极对接金融机构，落实金融帮扶政策。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国家金融监管总局泾源分局：在业务范围内为乡村振兴提供信贷支持和其他金融服务。</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1.大力宣传金融帮扶政策，提高农户政策知晓率；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2.对需要金融帮扶的农户进行资格审核；</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3.配合做好入户核查、公开公示、资金发放、逾期贷款收缴等工作。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农机安全生产监管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依法履行农机安全生产监管职责，按照职责对存在重大事故隐患的农业机械经营单位和个人加强监督管理。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1.开展农机安全宣传；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2.统计辖区农机驾驶员、车辆数量、证照等基本情况，统计农机作业、农机事故、农机报废更新等基本信息；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3.配合开展农机检审验、农机安全联组规范化建设。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引导购买农业保险</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县财政局：制定政策性农业保险实施方案，统筹落实农户购买农业保险，按照相关规定予以补贴。</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县农业农村局：指导乡镇开展农业保险购买情况摸底，统计农业保险购买情况，核实成灾面积和农作物受灾程度，对接保险公司予以赔付。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县林业和草原局：指导乡镇开展经果林农业保险购买情况摸底，统计经果林农业保险购买情况，核实成灾面积和经果林受灾程度，对接保险公司予以赔付。</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1.多渠道宣传农业保险的重要性，动员群众积极购买；</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2.发生灾情后，调查受灾面积和受灾程度并上报；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3.协助做好农业保险赔付工作。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四、自然资源（14项）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古树名木的保护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1.对古树名木进行确定、登记、挂牌，发布古树名录；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2.组织专业技术力量对濒危古树名木开展抢救复壮；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3.对损坏古树名木的情况进行打击处理。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1.协助开展古树名木保护宣传活动；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2.组织护林员开展日常巡查，发现攀树、折枝、剥损树皮等情况及时制止，情况严重的及时上报。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对盗伐、滥伐林木行为的监督管理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负责对乡镇上报的违法线索开展调查，并对违法线索进行审查核实，对违法行为进行查处。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1.开展盗伐、滥伐林木日常巡查；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2.发现违法违规行为及时报告县林业和草原局进行处理。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对自然资源卫片监测发现违法行为的监管执法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县自然资源局、县林业和草原局：收到上级卫片图斑信息后，对卫片图斑进行对比甄别、实地查看、系统核实认定，判定是否违法，确定违法建设名单，连同相关资料移交相关执法机构依法查处。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配合自然资源部门和林业和草原局对卫片信息进行实地核查，协助相关执法部门对违法者下达限期整改通知书，对逾期未整改到位的配合做好执法工作。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违法违规占用耕地和基本农田问题发现、核实、整改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县自然资源局：负责非农化问题整改。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县农业农村局：负责非粮化问题整改。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1.对耕地和基本农田图斑进行核实，确认违法行为；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2.按时将耕地和基本农田图斑反馈各乡镇，指导督促各乡镇对反馈图斑问题进行现场核实整改，核查上传图斑举证情况；</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3.现场核查各乡镇耕地和基本农田图斑整改情况。</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1.配合核实年度新增设施农用地图斑；</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2.配合处置耕地违法占地、用地图斑；</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3.配合排查违法违规破坏耕地问题；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4.配合核实年度变更调查耕地流出问题；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5.配合落实耕地保护督查反馈问题整改；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6.配合开展遥感监测暨卫片耕地执法。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农户私自开垦、占用村集体土地等行为的监管执法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县自然资源局：负责对辖区内耕地利用情况开展摸底排查，对发现或接到举报的非法占用、破坏耕地的行为依法查处。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县林业和草原局：负责对非法破坏林地的行为依法查处。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县农业农村局：负责对非法占用村集体土地建住宅的行为依法进行查处。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1.做好土地政策宣传，开展巡查，发现土地违法问题及时上报；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2.协助做好现场认定、处置工作。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对非法采砂的监督管理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负责辖区河道采砂的监管工作，对发现的非法采砂行为进行审查认定，并依法查处。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做好日常巡查，发现违法采砂行为及时上报，协助执法与调查取证，开展群众宣传教育。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森林、草原资源监管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1.宣传林草资源保护相关法律法规；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 xml:space="preserve">2.通过林地草原巡查、各级林长报告、群众反映、护林员上报等方式，发现林草资源破坏、林地退化、草原荒漠化等情况，及时规划生态修复项目；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3.配合上级林业和草原部门做好林草湿资源检查检测；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4.主管本行政区域内草原监督管理工作；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5.根据上一级草原保护、建设、利用规划编制本行政区域的草原保护、建设、利用规划，报本级人民政府批准后实施。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1.宣传林草资源保护相关法律法规；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2.发现林草资源破坏、林地退化、草原荒漠化等情况，上报县林业和草原局，及时规划生态修复项目；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3.做好护林员的管理；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4.对本辖区林地、草原资源现状情况开展调查，巡查监测毁林毁草情况，排查土地荒漠化、天然保护林保存情况、公益林保存情况、退耕还林（还草）地保存情况。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林地（草原）、湿地征占用审核审批及监管工作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1.负责林地、湿地征占用、现场查勘、资料审核、审批，对项目实施占用情况进行监督管理；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2.加强日常监管，对发现或接到上报的未按照审核审批面积使用林地、湿地等问题及时进行核查处理。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1.对林地、湿地征占用现场查勘、补偿协商等，对项目实施占用情况进行巡查；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2.对巡查发现的问题及时上报，做好执法相关现场确认等工作。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对禁牧期和禁牧区域放牧或者休牧期、轮牧区抢牧、滥牧的排查处置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1.负责本行政区域内禁牧、轮牧、休牧的监督管理工作；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2.划定禁牧区、轮牧区、休牧区；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3.建立巡查制度，对违规放牧行为进行查处；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4.对禁牧、轮牧、休牧区域林地、草地生态植被恢复情况进行动态监测和评估。</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 xml:space="preserve">1.通过多种方式宣传禁牧、轮牧、休牧相关法律法规和政策；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2.加强对禁牧区域、休牧期、轮牧区的日常巡查，及时发现并制止抢牧、滥牧等违规行为。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撂荒耕地复垦</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1.负责做好组织动员、督促指导、进度调度、联络协调、核查验收等。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2.审核汇总撂荒耕地台账，总结评估撂荒耕地摸底情况；</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3.负责制定撂荒耕地调查摸底工作方案，确定需要复耕复种地块，明确复耕要求，开展培训指导，指导乡镇开展撂荒耕地实地核查工作；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4.指导乡镇进行复耕复种，对乡镇提交的不存在撂荒情况的图斑，以及存在撂荒情况已复耕复种或者不具备复耕复种条件的图斑，组织审批销号。</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1.宣传撂荒耕地复垦政策；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2.配合全面摸清耕地撂荒底数，查清撂荒原因，建立排查台账并上报；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3.依据撂荒耕地复耕复种有关政策，鼓励有劳动能力的农户自行复耕，引导农户盘活撂荒土地资源，助力农业产业发展。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对木材加工行业的监管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负责查处违法违规经营行为，对非法经营（含加工）木材的行为进行处罚。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1.开展木材加工日常巡查；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2.发现违法违规行为及时报告林业草原局进行处理。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落实耕地占补平衡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1.认真落实耕地占补平衡，科学储备补充耕地指标；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2.依据项目用地需求，审核是否符合耕地占补平衡要求，对需要落实耕地占补平衡的，对接乡镇落实指标，并督促落实项目占用耕地先补后占原则；</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3.指导乡镇实施全域土地综合整治、补充耕地等新增耕地项目，将项目实施后新增耕地及时报自治区、验收后纳入占补平衡库管理。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配合做好耕地占补平衡项目实施工作。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对占用林地、草地卫片图斑核查处置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依法对违法占用林地、草地的行为进行查处。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协调督促相关责任人整改违法图斑问题。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绿化带养护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开展背街小巷绿化带防灭火、病虫害防治、树木修剪、补植、绿地补水等工作。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1.开展常态化巡查；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2.发现问题及时上报主管部门。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五、生态环保（19项）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36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危废、固废源头管理和排查整治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本行政区域固体废物污染环境防治工作实施统一监督管理，提请本级人民政府将固体废物污染防治工作纳入国民经济和社会发展规划、生态环境保护规划，推动各有关部门采取有效措施减少固体废物产生量、促进固体废物综合利用、降低固体废物危害性，最大限度降低固体废物填埋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2.制定工业固体废物污染环境防治工作规划，组织建设工业固体废物集中处置等设施，推动工业固体废物污染环境防治工作；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3.在职责范围内加强对医疗废物收集、贮存、运输、处置的监督管理，防止危害公众健康、污染环境。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1.配合生态环境分局对辖区涉危废、固废随意倾倒、处置行为进行全面排查；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2.配合生态环境分局对辖区内的危废、固废问题进行整改；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3.督促辖区存在危废、固废问题的企业按时完成整改。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河流流域水污染治理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固原市生态环境局泾源分局：对涉水企业实施环境执法，配合上级主管部门开展辖区内河流流域的水样监测。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县水务局：做好河流及排水沟管理和保护工作，对检查发现的违法违规行为依法进行查处，并督促整改落实。</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1.对水环境保护相关政策进行宣传；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2.对辖区内河流流域开展日常巡查；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3.发现问题及时上报有关部门；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4.配合相关部门做好问题整治。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大气污染防治与重污染天气应急处置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1.负责组织编制重污染天气应急预案，建立重污染天气应急减排清单，组织指导工业企业编制重污染天气应急操作方案并审核把关；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2.组织工信、住建、自然资源、农业农村、市场监管、交通运输、公安等部门按照职责分工做好重污染天气应对工作；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3.负责发现重点排污单位的大气污染物排放自动监测设备传输数据异常，及时进行调查。</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1.对预警期间辖区内工业企业等单位落实重污染天气应急响应措施情况进行排查，监督企业是否存在偷排现象；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2.做好烟尘、扬尘、煤尘管控，对辖区裸露土地洒水降尘，引导群众采用清洁取暖；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3.发现问题立即制止并及时上报；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4.配合调查处理大气污染环境违法行为。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环保设施运行监管执法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负责对排污者或污染治理运营单位的污染防治环保设施运行情况进行监督检查，对故意不正常使用或擅自拆除、闲置的依法查处。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对辖区内各类生态环境保护设施开展日常巡查并做好记录，对发现的环保设施运行管理问题按规定时限上报生态环境部门处理。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道路移动污染源监测和防控治理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局、县公安局：按照职责分工负责道路移动污染源排放的监测及防控治理工作，建立联合监管常态化机制，对道路移动源尾气进行抽检，对违法违规行为依法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1.做好政策宣传，对辖区内道路移动污染源开展巡查并做好记录；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2.对发现违法违规问题线索及时上报有关部门，配合做好联合治理相关工作。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扬尘综合治理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县自然资源等部门：按照职责分工，负责工业企业、建筑工地、矿山、道路运输等行业领域扬尘日常监管和综合治理，监督相关行业领域相关单位落实扬尘防治措施，对违法违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统筹网格监管力量，对辖区内扬尘源头情况开展日常巡查，配合部门监督建筑工地、道路运输、矿山开采等相关单位落实扬尘防治措施，发现违法违规行为按规定时限上报有关部门，协助做好扬尘治理整改落实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VOCs污染深度治理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县农业农村等部门：按照职责分工牵头开展摸底调查，持续推进化工行业、涂装行业、机动车、农业农村生活源VOCs治理，制定源头消减、过程控制、末端治理全过程防控计划与方案并组织实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1.配合部门对辖区内重点区域、重点行业VOCs排放情况开展巡查并做好记录；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2.对发现的疑似问题和隐患线索，按规定时限上报有关部门处理。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突发环境污染事件应急处置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负责制定突发环境事件应急预案，明确组织指挥机制、信息报告、应急处置措施等内容，并在发生突发环境事件时立即启动应急响应。</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1.发现突发环境事件后，及时上报，并根据应急预案积极响应；</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2.做好突发环境污染事件的先期处置工作。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规模养殖户（场）、企业粪污处理及资源化利用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1.对规模养殖场畜禽粪污资源化利用开展检查和指导，对规模养殖场粪污处理设施运行情况进行日常监管；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2.组织养殖户和企业实施粪污处理和资源化利用项目，通过项目支持提高粪污处理水平和能力；</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3.检查粪污处理措施落实情况。</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1.宣传粪污处理及资源化利用相关政策；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2.配合农业农村部门督促养殖户和企业实施粪污处理和资源化利用项目；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3.对粪污处理及台账记录情况进行检查；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4.对检查发现的问题及时上报。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对工业噪声、建筑施工噪声、社会生活、交通运输噪声污染的监管执法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固原市生态环境局泾源分局：建立协调机制，按照职责分工对工业噪声污染、建筑施工噪声污染、交通运输噪声污染、社会生活噪声污染的行为进行认定。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县公安局：对属于噪音污染扰民的违法违规行为，区分情况依法予以查处。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1.发现或收到群众举报噪音扰民问题及时劝告制止；</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2.经劝告制止无效的上报生态环境、公安等主管部门；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3.配合做好相关执法工作，开展群众走访、现场确认等。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做好水土保持相关工作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1.负责辖区内水土保持工作的监督检查、水土保持方案审批等行政执法工作；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2.开展水土流失综合治理工作；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3.配合税务部门催缴水土保持补偿费。</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1.加强水土保持宣传和教育工作，普及水土保持科学知识，增强公众的水土保持意识；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2.配合水务部门督促本辖区内实施的建设项目编制水土保持方案，对辖区内造成水土流失的行为进行监督；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3.协助完成本辖区内水土流失综合治理，推行“山水林田”统一规划、“梁峁沟坡塬”一体整治模式，实施沟道、山林等治理。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河道“四乱”问题整治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1.组织开展河流管理保护监督管理，不断完善河流保护综合执法体系建设，强化河长制监管能力和水平；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2.加大违法违规行为的打击力度，开展河流管理保护突出问题专项整治，严厉打击涉河违法行为，清理整治非法排污、设障、捕捞、养殖、采砂、采矿、围垦、侵占水域岸线等活动。</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1.发现河道乱占、乱采、乱堆、乱建等问题及时上报；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2.协助水务部门开展涉河违法取证工作；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3.配合做好协调清退、拆除等工作。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河道违法图斑核查及整改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1.对辖区内的河道进行定期不定期检查；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2.对存在河道四乱问题进行督查通报；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1.接受上级传达的违法图斑信息；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2.根据经纬度坐标实地考察；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3.与当事人联系对违法图斑进行整改，对拒不整改的报上级水务部门。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生态安全重点部位检查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1.加强对乡镇生态环保方面的指导、培训；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2.对乡镇上报的问题隐患、线索等情况及时核实，组织各相关主管部门进行查处，并督促整改落实。</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1.宣传普及环境保护知识，提高企业和公众的环保意识；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2.对辖区内易产生污染的场所进行定期检查，确保环保设施正常运行；</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3.对检查中发现的问题进行分类汇总，建立问题台账，并及时上报生态环境分局；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4.协助各部门开展调查和处理工作。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对生活污水、化粪池安全检查及违法行为的整治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固原市生态环境局泾源分局：负责环保监管和水质监测。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县城乡建设和交通运输局：督促物管小区的物业企业对小区化粪池安全问题开展巡查，发现问题及时处置。</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协助对生活污水、化粪池开展安全巡查检查。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生态公益林管护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1.设置管护标识，限制人员和牲畜随意进入，减少人为干扰和破坏；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2.安排专人定期巡护，及时发现并处理火灾隐患、盗伐、病虫害等问题，同时对森林资源状况进行监测；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3.对林分稀疏或受损区域进行合理的补植，增加森林覆盖率和生态功能；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4.适时进行抚育间伐、修枝整形等，促进林木生长，提高林分质量；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5.开展相关科研项目，探索更好的管护方法和技术，同时加强公众的生态教育，增强保护意识；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6.定期对生态公益林资源进行调查统计，建立完善档案资料，为科学管理提供依据；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7.加强与相关执法部门合作，严厉打击破坏生态公益林的违法违规行为。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配合对辖区内公益林进行日常巡护，发现违法违规行为及时制止并上报。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“散乱污”企业治理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1.落实长效监管机制，持续开展“回头看”，巩固“散乱污”企业清零成效，坚决杜绝“散乱污”企业死灰复燃，确保“散乱污”企业整治动态清零；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2.持续开展辖区内“散乱污”企业排查工作，在摸排中发现的新增“散乱污”企业，严格按照整治标准开展治理工作。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1.查处企业超标排放、偷排漏排、未批先建等环境违法行为；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2.对不符合环保要求的企业责令整改或关停；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3.监督企业落实污染治理设施升级改造。</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1.配合相关部门对辖区“散乱污”企业进行排查；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2.配合相关部门对辖区内“散乱污”企业问题进行整改。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噪音污染综合整治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固原市生态环境局泾源分局：对群众反映的噪音扰民问题进行督导整改，对违法行为依法进行立案查处。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在城区噪声敏感建筑物集中区域内使用高音广播喇叭或者违反当地公安机关的规定，在城区街道、广场、公园等公共场所组织娱乐、集会等活动，使用音响器材，产生干扰周围生活环境的过大音量的由公安机关进行立案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对违法行为人进行批评教育、责令限期改正，对拒不整改的及时向上级部门报告。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餐饮服务业环境污染防治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1.负责本辖区的餐饮服务业环境污染防治监督管理；</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2.对污染源及生态环境污染行为进行执法监督管理；</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3.对违法行为监督管理，发现违法行为予以查处。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1.开展餐饮服务业环境污染防治相关政策宣传；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2.督促餐饮企业复装、使用、维护油烟净优设备；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3.对拒不整改的经营单位上报主管部门。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snapToGrid w:val="0"/>
                <w:color w:val="auto"/>
                <w:kern w:val="0"/>
                <w:sz w:val="21"/>
                <w:szCs w:val="21"/>
                <w:lang w:val="en-US" w:eastAsia="zh-CN"/>
              </w:rPr>
            </w:pPr>
            <w:r>
              <w:rPr>
                <w:rStyle w:val="20"/>
                <w:rFonts w:hint="eastAsia" w:hAnsi="方正公文黑体" w:eastAsia="方正公文黑体"/>
                <w:color w:val="auto"/>
                <w:lang w:val="en-US" w:eastAsia="zh-CN"/>
              </w:rPr>
              <w:t>六、城乡建设（17项）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燃气安全监管（含聚能环排查、黑气罐及无码罐回收）</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1.牵头负责燃气领域安全生产监督管理，统筹各行业部门开展各自行业领域燃气安全隐患排查整治工作，对各类燃气安全隐患和违法行为进行查处；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2.督促燃气经营企业落实燃气设施定期巡检维护、入户安检等安全生产职责；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3.依法查处未取得燃气经营许可证从事生产经营活动的行为，落实燃气安全设施定期检查制度。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1.负责燃气充装、检验检测机构的监督管理，监督燃气充装单位对气瓶进行定期检验和报废处理；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2.负责城镇燃气领域特种设备安全监管；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3.负责生产、销售环节燃气燃烧器具和燃气相关产品质量监管，依法查处制售假冒伪劣产品的违法行为；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4.依法处理操纵燃气市场价格、垄断、不正当竞争等扰乱市场秩序的行为。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县应急管理局：依法对液化石油气、液化天然气生产企业实施安全监管，对不具备安全生产条件的生产企业依法查处。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县工业信息化和商务局：负责督促使用瓶装液化气的餐饮经营单位加强安全管理，督促餐饮经营主体规范安装和使用可燃气体报警装置、切断装置和连接管，加强对餐饮经营企业主要负责人的培训。</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1.协调村民委员会配合燃气经营企业进行入户安全检查；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2.积极发挥网格化治理机制在燃气安全事故预防中的作用，发现疑似燃气安全事故隐患及时提醒燃气经营企业或者燃气用户，并向燃气管理部门报告。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农村房屋建设管理（含农村低收入群体危房和抗震房改造）</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1.负责指导农房建设管理，负责农房（抗震房）设计图集编制推广、指导建设质量安全管理、指导隐患排查整治、开展乡村建设工匠管理等工作；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2.负责农村低收入群体危房和抗震房改造的方案制定、组织实施、过程管理、资金拨付。</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1.负责辖区内农房规划建设使用管理工作，包括乡村建设规划许可、宅基地审批、建设工程监管、使用过程管控、违法违规行为核查上报处置以及安全隐患排查整治和房屋安全宣传等工作；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2.组织开展农村危房改造、农房抗震改造的排查上报、申请公示、资料审核、系统录入等工作；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3.指导所辖村将农房建设行为规范纳入村规民约，做好农房建设质量安全管理工作。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汛期公路基础设施安全管理工作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1.负责在汛期前进行公路基础设施的全面安全检查，包括桥梁、隧道、边坡、挡土墙、桥涵、排水设施等，对于发现的隐患，如桥梁基础冲刷、边坡滑塌等，需要及时进行修复和加固；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2.制定和完善应急预案，落实应急值班值守，优化应急抢险救灾力量布局。在汛期，需要保障重点物资运输畅通有序，及时有效应对突发事件。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3.在暴雨等恶劣天气下，需要加强公路的巡查和监控，必要时采取断行措施，确保关键路段和时刻的公路畅通。同时，需要保证公路排水设施的通畅，防止因排水不畅造成的交通事故。</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1.对重大风险点排查，对确定的风险点建立风险台账；</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2.监视雨情、汛情发展变化趋势，按要求及时发布公路预警信息；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3.协助相关部门做好“小雨关注、中雨巡查、大雨值守、暴雨管控”、积水处置等工作。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河道、水源、堤坝、水库等涉水设施安全监管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1.提供政策依据；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2.对河道、水源、堤坝、水库等涉水设施的建设、维护；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3.提供必要的物资保障。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2.开展日常巡查巡护；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4.对能力范围内的隐患进行化解。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农村饮水安全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1.针对人饮工程情况制定可行性供水方案；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2.实施农村饮水安全巩固提升工程，更换改造铺设管道、新建阀井、管道穿渠等；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3.进行人饮工程施工及运行管理；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4.监督水站规范运行。</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1.开展农村饮用水情况调查；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2.配合第三方统计自来水存在问题并按照要求完成整改；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3.宣传冬季自来水防冻工作；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4.收集整理水质检测报告并下发至各村。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房屋、土地及地上附着物评估及征收</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县自然资源局</w:t>
            </w:r>
            <w:r>
              <w:rPr>
                <w:rFonts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开展土地现状调查，拟定征地补偿安置方案；</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征求被征收土地所有权人的意见；</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3.</w:t>
            </w:r>
            <w:r>
              <w:rPr>
                <w:rFonts w:hint="eastAsia" w:ascii="Times New Roman" w:hAnsi="Times New Roman" w:eastAsia="方正公文仿宋" w:cs="Times New Roman"/>
                <w:color w:val="auto"/>
                <w:lang w:val="en-US" w:eastAsia="zh-CN"/>
              </w:rPr>
              <w:t>发布土地征收公告；</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4.</w:t>
            </w:r>
            <w:r>
              <w:rPr>
                <w:rFonts w:hint="eastAsia" w:ascii="Times New Roman" w:hAnsi="Times New Roman" w:eastAsia="方正公文仿宋" w:cs="Times New Roman"/>
                <w:color w:val="auto"/>
                <w:lang w:val="en-US" w:eastAsia="zh-CN"/>
              </w:rPr>
              <w:t>对拟征收土地开展勘测定界；</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5.</w:t>
            </w:r>
            <w:r>
              <w:rPr>
                <w:rFonts w:hint="eastAsia" w:ascii="Times New Roman" w:hAnsi="Times New Roman" w:eastAsia="方正公文仿宋" w:cs="Times New Roman"/>
                <w:color w:val="auto"/>
                <w:lang w:val="en-US" w:eastAsia="zh-CN"/>
              </w:rPr>
              <w:t>签订征地补偿安置协议；</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6.</w:t>
            </w:r>
            <w:r>
              <w:rPr>
                <w:rFonts w:hint="eastAsia" w:ascii="Times New Roman" w:hAnsi="Times New Roman" w:eastAsia="方正公文仿宋" w:cs="Times New Roman"/>
                <w:color w:val="auto"/>
                <w:lang w:val="en-US" w:eastAsia="zh-CN"/>
              </w:rPr>
              <w:t>按时发放土地征收补偿款。</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协助相关部门开展土地现状调查、公告、听取被征收土地所有权人意见；</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组织土地所有权人、使用权人与相关部门签订征地补偿协议；</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3.</w:t>
            </w:r>
            <w:r>
              <w:rPr>
                <w:rFonts w:hint="eastAsia" w:ascii="Times New Roman" w:hAnsi="Times New Roman" w:eastAsia="方正公文仿宋" w:cs="Times New Roman"/>
                <w:color w:val="auto"/>
                <w:lang w:val="en-US" w:eastAsia="zh-CN"/>
              </w:rPr>
              <w:t>调解土地征收过程中出现的矛盾和问题。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自建房安全检查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1.加强自建房监管，牵头组织开展专项整治工作，排查自建房结构安全问题；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2.建设城镇房屋、农村房屋综合管理信息平台，推进信息共享，建立健全全链条监管机制；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3.做好危旧房屋整治工作。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1.组织各村对全乡镇房屋进行初步排查，对可见的裂缝等问题隐患进行梳理，并建立台账；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2.对排查中发现的疑似危房，采取初步管控措施；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3.发现问题线索及时上报；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4.配合住建部门做好房屋等级鉴定；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5.根据住建部门反馈的专业鉴定报告，建立完善隐患台账；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6.对危旧房住户进行劝导。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农村公路的养护监管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1.负责农村公路新改建及大修养护工程；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2.负责县道的养护工作，具体包括：道路巡查、路面及桥面保洁、路肩边坡水毁处置及蒿草修剪，行道树、桥梁、涵洞、交安设施刷新刷白等工作；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3.负责县道管理工作，具体包括：乡村道路及其沿线设施的管护，制止各种侵占、损坏公路、公路用地、公路附属设施的违法行为；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4.负责农村公路超限车辆治理工作。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1.做好辖区乡道日常巡查，对发现的隐患问题及时上报；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2.制止并上报损坏道路设施等行为。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对辖区建筑施工领域安全生产检查监管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牵头负责本辖区内建筑施工项目安全生产、建筑安全的监督管理，统筹消防救援大队、公安等部门，对各类安全生产隐患和违法行为进行查处。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1.对本辖区建筑施工领域进行安全检查；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2.发现安全生产隐患和违法行为并具备处置能力的及时制止，责令限期整改；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闲置校舍、校田无偿划转工作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县财政局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县教育体育局：牵头制定划转方案，审核闲置校舍的权属、面积、用途等基础信息。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县自然资源局：核实土地性质，指导土地用途合规性。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县财政局：负责资产移交的审批工作。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1.现场查看闲置校舍、校田；</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2.上报查看信息。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对建设单位和个人未经批准进行临时建设、未按照批准内容进行临时建设、临时建筑物、构筑物超过批准权限不拆除的处置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县城乡建设和交通运输局：对住宅小区内建设单位和个人未经批准进行临时建设等行为进行认定，确认违法行为，按照法律程序进行行政处罚。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县自然资源局：对建设单位和个人未经批准进行临时建设等行为进行认定，确认违法行为，对违法行为立案查处或将线索移交赋权的执法部门查处。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1.进行日常巡查；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2.对巡查发现或群众举报的线索进行汇集并及时上报；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3.配合相关单位对违法问题进行处置。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闲置宅基地盘活利用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县农业农村局：负责农村宅基地改革和管理工作，建立健全宅基地分配、使用、流转、违法用地查处等管理制度，指导宅基地合理布局，闲置宅基地闲置农房利用，备案登记农村宅基地使用权流转。</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县自然资源局：负责在国土空间规划中统筹安排宅基地用地规模和布局，依法办理农用地转用审批和规划许可等相关手续。</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1.摸排闲置宅基地和闲置农房信息；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2.对闲置宅基地和农房进行盘活利用。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“门前三包”责任制落实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1.加强对商户的宣传，引导沿街商户自觉遵守“门前三包”管理规定，强化商家主体责任意识；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2.对商户落实“门前三包”责任制度进行不定期抽查，发现存在乱堆乱放、乱张贴、占道经营等市容问题及时通报给乡镇，督促商户立即整改；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3.对多次劝导仍不改正的违法行为，安排执法人员进行立案调查，现场取证，并责令商户立即改正，依法依规进行行政处罚。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3.违法情形上报。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高空作业隐患整治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县发展改革和科学技术局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县城乡建设和交通运输局：负责建筑、交通运输、市政管理、园林绿化领域高空作业隐患整治。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县应急管理局：负责危险化学品领域及工贸领域高空作业隐患整治。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县发展改革和科学技术局：负责电力行业隐患整治。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县工业信息化和商务局：负责通信行业、商贸服务行业隐患整治。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负责隐患排查，及时劝导，做好安全提醒，发现问题及时上报行业主管部门。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经营场所存在“双气源”的排查整治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对经营场所存在“双气源”的进行整治。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对经营场所存在“双气源”的进行摸排上报。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“黑气瓶”“双嘴瓶”排查整治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查处“黑气瓶”贩子等液化气行业违法违规行为，禁止使用、回收50公斤液化石油气“双嘴瓶”“黑气瓶”。</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摸排辖区液化气使用情况，发现“黑气瓶”“双嘴瓶”后及时上报。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推进“四好农村路”高质量发展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1.全面推进“四好农村路”高质量发展，负责县级农村公路建设和管理，拟定全县农村公路发展中长期规划、计划并组织实施；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2.争取、协调、配合上级交通部门对国省干线提升改造，负责落实农村公路管理养护相关职责，指导、检查、监督和考核乡镇乡村公路管理养护工作，加大路政执法力度，依法保护公路路产、路权。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负责本辖区内农村公路的管理、养护及路域环境治理。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七、文化和旅游（1项）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旅游场所、农家乐安全监督管理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1.负责旅游业的指导、协调、管理、服务和监督工作；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2.对旅游资源进行普查、评估、登记、建立旅游资源信息库；</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3.会同有关部门负责指导、协调、监督旅游资源的保护、开发和利用；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4.保障旅游用地，完善旅游宣传推广体系，发展旅游项目，推动旅游产业发展与新型工业化、信息化、城镇化和农业现代化相结合，推动观光、休闲、度假旅游协同发展；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5.制定旅游突发事件应急预案，加强旅游安全监管。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1.对农家乐等提供餐饮服务的场所，要求取得食品经营许可证，落实食品安全管理制度；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2.景区内涉及特种设备（如索道、游乐设施）的，需符合安全技术规范并定期检验。</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县应急管理局：要求旅游场所和农家乐制定安全生产事故应急预案，并定期组织演练。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1.负责协助旅游资源开发保护，协助编制、评估和落实旅游发展有关规划；</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2.对旅游资源进行普查；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3.协助保障落实旅游用地，积极开发旅游业态、旅游项目；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4.负责做好相关安全生产应急预案工作和旅游市场安全生产与管理工作。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八、卫生健康（2项）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病死动物无害化处理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负责本行政区域病死畜禽和病害畜禽产品无害化处理的监督管理工作；</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对江河、湖泊、水库等水域发现的死亡畜禽组织收集、处理并溯源。</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做好辖区病死动物无害化处理宣传、信息报送工作；</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对辖区内发现的死亡畜禽进行组织收集、处理并溯源。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新生儿在医疗卫生机构以外地点死亡的核查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对乡镇上报信息进行核查；</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将核实结果上报上级部门。</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发现新生儿在医疗卫生机构以外地点死亡的，及时上报相关信息。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九、应急管理及消防（15项）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森林草原火灾隐患排查和火灾扑救</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国有林场</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color w:val="auto"/>
                <w:lang w:val="en-US" w:eastAsia="zh-CN"/>
              </w:rPr>
            </w:pPr>
            <w:r>
              <w:rPr>
                <w:rFonts w:hint="eastAsia" w:ascii="Times New Roman" w:hAnsi="Times New Roman" w:eastAsia="方正公文仿宋" w:cs="Times New Roman"/>
                <w:color w:val="auto"/>
                <w:lang w:val="en-US" w:eastAsia="zh-CN"/>
              </w:rPr>
              <w:t>景区管理机构</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部门：按照职责分工负责县域内森林草原火灾预防，开展防火巡护、火源管理、日常检查、宣传教育、防火设施建设和火情早期处理等工作，发现问题下达森林草原火灾隐患整改通知书，责令限期整改、消除隐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县应急管理部门：按照分级负责原则，指导森林草原火灾处置工作。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国有林场、景区管理机构：负责本辖区森林草原防火的宣传教育，组建队伍进行林场巡查，加强火种、火源的管理，定期进行巡查及隐患排查，发现或接到群众报告火情后，立即组织扑救并上报。</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1.负责辖区林草防火的宣传教育，组织参加防灭火知识培训；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2.对辖区森林草原防火区进行巡查，发现或接到群众举报火灾隐患及时消除，出现火情第一时间上报有关部门；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3.在火势较小、保证安全的前提下，先行组织进行初期扑救。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76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应急广播系统（平台）建设和管理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县融媒体中心</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县文化旅游广电局：负责对应急广播系统建设检查考核、项目验收、施工建设等工作进行督导检查。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县融媒体中心：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1.负责应急广播系统建设技术方案的制定；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2.负责应急广播系统建设项目的工程招标、组织实施、调度督导、检查考核、项目验收工作及应急广播管理平台日常运行和维护。</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1.负责做好本乡镇、辖区各行政村专用机房配备及设备安装工作，并安排专人负责应急广播设备日常管理工作等事宜；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2.负责应急广播系统项目建设中涉及到的布设杆路的协调工作。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77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电动车安全监督管理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开展电动自行车违规停放、违规充电专项整治行动，明确整治内容、整治范围，提供技术支持，对违法违规行为进行查处。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1.宣传电动车安全知识；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2.指导发挥网格员作用，对建筑管理单位、村民委员会发现上报的违法违规行为进行劝阻、制止，责令改正，制止未果的及时上报主管部门；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3.配合开展电动自行车违规停放、违规充电专项整治。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地质灾害防治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1.负责组织、协调、指导和监督地质灾害防治工作；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2.会同住建和交通、水务等部门依据地质灾害防治规划，拟定年度地质灾害防治方案；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3.结合地质环境状况组织开展地质灾害调查；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4.会同气象部门发布地质灾害预报；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5.及时划定地质灾害危险区并公告，设置明显警示标志；</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6.会同住建和交通、水务部门拟定地质灾害应急预案。</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1.组织开展地质灾害防治工作，对划定的地质灾害区开展日常实地巡回检查，发现疑似新增地质灾害隐患点及时上报；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2.组织做好紧急情况下的临灾避险工作，发现地质灾害灾（险）情前兆时，及时采取防范措施，并向上级人民政府和自然资源部门报告；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3.开展防灾减灾知识的宣传工作，对地质灾害隐患点组织开展应急避险演练；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4.发生地质灾害灾情或者险情时，及时组织人员赴现场应急处置，同时向上级人民政府和自然资源部门报告，协助相关部门开展应急处置、救援和善后工作。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地震应急响应期间疑似危房的管控及转移群众的临时安置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1.组织协调开放行业部门管理的应急避难场所；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2.及时协调调度应急物资保障临时安置群众生活所需；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3.按规定做好符合条件的特殊困难群众救济救助工作。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1.根据乡镇上报的房屋安全排查情况，组织第三方检测机构开展鉴定，并将鉴定结果及时反馈相关部门和乡镇；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2.对鉴定为C、D级房屋、暂不具备改造条件的，第一时间采取封闭停用、警示标示等管理措施加以管控，待条件成熟时采取工程措施彻底改造整治，并对符合条件的群众及时提供临时保障性住房进行安置。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县市场监督管理局：根据房屋鉴定结果，对鉴定为C、D级房屋的营业场所协助住建部门进行临时关停。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县民政和退役军人事务局：对经灾害救助过渡期满三个月后，基本生活仍困难的群众给予救助。</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1.开放本级及村级应急避难场所，启用应急设施设备，安置和管理受灾群众，管理救灾物资；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2.根据上级部门反馈的房屋鉴定结果，对鉴定为C级房屋且具备条件的，动员群众进行加固，对鉴定为D级房屋的劝导群众搬离；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3.配合上级住建、市场监管部门做好政策宣传和群众思想工作；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4.配合做好危房加固、临时住房保障性住房政策落实以及困难群众的救济救助工作。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对占用、堵塞、封闭疏散通道、安全出口或者有其他妨碍安全疏散行为的排查处置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各类场所进行消防监督检查，依法查处占用、堵塞、封闭疏散通道、安全出口等消防违法行为；对可能严重威胁公共安全的危险部位或者场所予以临时查封；指导单位和乡镇开展消防安全宣传教育和培训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县应急管理局：综合协调各部门开展相关排查整治工作，督促各部门落实安全监管责任；对生产经营单位存在的妨碍安全疏散等违法行为进行查处，对重大安全隐患进行挂牌督办。</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对建设工程的疏散通道、安全出口等消防设计进行审查和验收，确保新建、改建、扩建工程符合消防安全要求；指导和监督物业服务企业做好物业管理区域内的消防安全管理工作，督促物业服务企业对疏散通道、安全出口进行日常巡查和维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县工业信息化和商务局：对商场、餐饮、住宿等商贸服务业进行监督检查，督促经营者保持疏散通道、安全出口畅通。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县市场监督管理局：依法查处销售不合格消防产品的行为，配合相关部门开展消防安全专项整治。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县公安局：公安派出所对辖区内的“九小场所”等进行消防监督检查，查处占用、堵塞、封闭疏散通道、安全出口等违法行为；配合消防救援部门开展灭火救援和应急处置工作，维护现场秩序。</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 xml:space="preserve">1.向社会广泛宣传消防安全知识，引导群众共同维护疏散通道、安全出口畅通；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2.对公共场所开展消防隐患排查，及时制止违法行为发生，并向执法部门通报；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3.对排查出的隐患问题，协助县级部门督促整改，对难以整改的问题及时上报。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对占用、堵塞、封闭消防车通道、妨碍消防车通行的排查处置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县消防救援大队：开展消防监督检查，责令改正占用等违法行为；对拒不改正的，强制清理障碍物，并视情节轻重给予处罚。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县城乡建设和交通运输局：监督建设单位按标准设置消防车通道；督促物业服务企业履行消防车通道管理维护责任。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1.对消防车通道开展日常排查；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2.通过多种渠道广泛宣传相关法律法规和消防安全知识；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3.协助县级部门督促整改违法行为；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4.及时向县级部门反馈排查整治情况。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对人员密集场所在门窗上设置影响疏散逃生和灭火救援的障碍物的排查处置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县消防救援大队：负责对人员密集场所进行消防监督检查，依法查处门窗设置障碍物的违法行为；对存在的问题责令限期改正，拒不改正的给予行政处罚；指导单位开展消防演练。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县城乡建设和交通运输局：在建设工程消防设计审查验收中，严格把关人员密集场所门窗设计是否符合疏散逃生和灭火救援要求；督促物业服务企业对管理区域内人员密集场所的相关情况进行巡查和报告。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县应急管理局：综合协调各部门开展隐患排查整治工作。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1.配合执法部门组织执法人员、网格员等对人员密集场所进行排查；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2.向人员密集场所经营者和从业人员宣传相关法律法规和消防安全知识；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3.对排查出的问题，协助县级执法部门做好整改工作，上报整改情况。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对在高层民用建筑的公共门厅、疏散走道、楼梯间、安全出口停放电动自行车或者为电动自行车充电，拒不改正的排查处置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县消防救援大队：负责对高层民用建筑进行消防监督检查，依法查处违规停放、充电行为；责令存在问题的单位和个人限期改正，对拒不改正的实施行政处罚；对因违规行为引发火灾事故的，进行火灾事故调查。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督促物业服务企业履行消防安全管理职责，对电动自行车违规停放、充电行为进行巡查和劝阻；在建设工程消防设计审查验收中，严格把关相关设施的设计和建设是否符合消防安全要求。</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1.通过多种渠道广泛宣传相关法律法规和消防安全知识；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2.对高层民用建筑进行日常监督检查，及时发现违规行为并记录；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3.对发现的违规行为，督促当事人立即整改，拒不改正的及时上报执法部门。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对商贸流通领域开展安全生产检查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县工业信息化和商务局：按照职责指导、督促商场、餐饮、住宿等商贸服务业（不含“九小”场所）的安全生产管理工作，协调、配合相关部门开展商贸流通领域安全隐患排查整治等工作。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县应急管理局：指导协调、监督检查商务等部门做好商贸流通领域安全生产监督管理工作，组织开展综合督查检查，牵头负责事故查处。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内小型商场、超市（供销系统除外）、小型餐饮住宿场所（星级酒店除外），以及村组织建设或产权所有的各类商贸流通领域生产经营单位（含集贸市场、农村集市）进行日常安全隐患排查整治，发现安全生产隐患和违法行为应及时制止、限期整改，并按规定时限上报有关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“九小”场所安全监管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县市场监督管理局等负有安全生产监管职责相关部门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县消防救援大队、县应急管理局、县公安局、县城乡建设和交通运输局、县工业信息化和商务局、县市场监督管理局等相关部门按照职责分工负责：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1.建立县乡联动执法工作机制，制定年度综合检查工作计划并组织实施；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2.对检查中发现的安全生产违法行为，当场予以纠正或者要求限期改正；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3.对依法应当给予行政处罚的行为，依照有关法律法规的规定作出行政处罚决定。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1.落实乡镇吹哨、部门报到工作机制，组织协调辖区执法力量及网格员队伍对辖区“九小”场所开展安全隐患排查，实施“综合查一次”；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2.对排查出的问题建立台账并将有关情况上报，督促相关单位及时整改；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3.对拒不整改的、问题比较突出的报有关部门及时查处。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开展冬季取暖安全防范工作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县发展改革和科学技术局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组织协调指导做好冬季取暖安全防范工作，对发现的安全隐患进行整改，协调居民进行清洁能源改造。</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开展冬季安全取暖宣传工作，摸排辖区内使用煤烟取暖的住户，配合有关部门对安全隐患进行排查整改。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对辖区工贸企业安全生产检查监管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县应急管理局：负责冶金、有色建材、机械、轻工、纺织、烟草等工贸企业安全监管，对安全生产隐患和违法行为进行查处。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县工业信息化和商务局：负责工贸企业、小生产加工企业、小作坊等生产经营单位安全生产的监督管理，对安全生产隐患和违法行为进行查处。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县市场监督管理局：负责工贸企业、小生产加工企业、小作坊等生产经营单位证照、特种设备的监督管理，对食品安全隐患、产品质量安全隐患和违法行为进行查处。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县城乡建设和交通运输局：配合工业信息化和商务部门对工贸企业、小生产加工企业、小作坊等生产经营单位建筑安全、消防验收备案的监督管理，对安全隐患和违法行为进行查处。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县消防救援大队：负责辖区工贸企业等生产经营单位消防安全的监督管理，对消防安全隐患和违法行为进行查处。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1.对本辖区工贸企业、小生产加工企业、小作坊等生产经营单位安全防护措施进行安全检查；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2.发现安全生产隐患和违法行为并具备处置能力的及时制止，责令限期整改；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3.对拒不整改、存在重大安全隐患等情形及时上报有关责任单位。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对辖区大型群众性活动和重要时期的安全监管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县公安局：审批承办者递交的大型群众性活动申请；做好大型群众性活动的安全管理。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县应急管理局：监督活动承办方落实安全生产主体责任，检查应急预案和演练情况；指导协调活动中的应急救援工作。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县消防救援大队：对活动场所的消防设施、电气线路、疏散通道等进行安全检查；活动期间派驻消防车辆和人员备勤。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县文化旅游广电局：对营业性演出、旅游节庆活动等涉及文化领域的活动进行行业安全指导。</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1.做好本辖区举办的大型群众性活动和重要时期的安全隐患排查，对具备处置能力的及时制止，责令限期整改，对拒不整改、存在重大安全隐患等情形及时上报；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2.做好辖区内重点人群管控等社会面稳控工作；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3.组织人员维护活动秩序，在指定区域内做好安保值守工作；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4.按照活动预案安排，及时做好突发事件应对处置。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烟花爆竹的安全监管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县供销合作社</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县应急管理局：负责本辖区内烟花爆竹经营、储存的安全监督管理工作。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县公安局：负责烟花爆竹道路运输安全监管，从严审批焰火晚会等大型活动，积极开展“打非治违”并及时销毁非法烟花爆竹，依法打击惩处以危害公共安全和人身、财产安全的方式燃放烟花爆竹的违法行为。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县市场监督管理局：负责烟花爆竹的质量监督管理。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县供销合作社：加强对本系统企业烟花爆竹经营活动的管理。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开展日常巡查，发现烟花爆竹违法违规生产经营行为及时制止并上报。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十、市场监管（4项）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90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食品安全监督管理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县市场监督管理局：负责对食品生产经营活动实施监督管理。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县卫生健康局、县农业农村局、县工业信息化和商务局、县城乡建设和交通运输局、固原市生态环境局泾源分局等部门：依照各自的工作职责，做好食品安全监督管理工作。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1.加强食品安全宣传教育，普及食品安全知识，倡导健康的饮食方式，登记备案农村集体聚餐并上报，增强消费者食品安全意识和自我保护能力；</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2.配合开展辖区食品、食用农产品安全监督检查。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食品安全分级包抓管理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组织实施食品安全风险防控、隐患排查和专项治理。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1.协助行业主管部门对包保食品生产经营主体进行督导；</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2.建立台账资料。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1.对集体聚餐食品安全工作进行业务指导，加强对加工制作人员的食品安全知识培训；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2.加强监督检查，重点对农村集体聚餐食品食材进行检查，提醒消费者和食品经营者隔离储存非食用原料及危险化学品与食品；</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3.接到食品安全事故的报告后，立即会同卫生、农业以及属地乡镇进行调查处理，开展应急救援工作。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1.指导医疗机构做好食品安全事故的医疗救治、流行病学调查和卫生学处置；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2.加强食品安全风险监测和营养健康监测。</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1.负责农村集体聚餐信息收集、登记备案、情况上报；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2.按要求进行现场指导；</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3.负责农村食品安全协管员以及农村集体聚餐厨师的建档、管理等工作；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4.协助处置食品安全突发事件。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93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对商铺和流动摊点占道经营、无照无证经营行为的监管执法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县城乡建设和交通运输局：负责商铺和流动摊点占道经营的监督管理，负责职责范围内许可事项的监督管理。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县市场监督管理局：负责查处商铺的无照经营及市场监管部门职责范围许可事项的监督管理。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县公安局：负责查处治安方面及涉及公安职责范围内许可事项的监督管理。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县卫生健康局：负责职责范围内许可事项的监督管理和查处违法违规行为。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对辖区内商铺和流动摊点占道经营情况进行日常巡查，发现不法经营行为信息及时报告有关部门处理。</w:t>
            </w:r>
          </w:p>
        </w:tc>
      </w:tr>
    </w:tbl>
    <w:p>
      <w:pPr>
        <w:pStyle w:val="3"/>
        <w:keepNext/>
        <w:keepLines/>
        <w:pageBreakBefore w:val="0"/>
        <w:widowControl/>
        <w:kinsoku/>
        <w:wordWrap/>
        <w:overflowPunct/>
        <w:topLinePunct w:val="0"/>
        <w:autoSpaceDE w:val="0"/>
        <w:autoSpaceDN w:val="0"/>
        <w:bidi w:val="0"/>
        <w:adjustRightInd w:val="0"/>
        <w:snapToGrid w:val="0"/>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6767295"/>
      <w:bookmarkStart w:id="9" w:name="_Toc17207795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2"/>
        <w:tblW w:w="14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6"/>
        <w:gridCol w:w="4990"/>
        <w:gridCol w:w="8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blHeader/>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序号</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事项名称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承接部门及工作方式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黑体" w:cs="Times New Roman"/>
                <w:lang w:eastAsia="zh-CN"/>
              </w:rPr>
            </w:pPr>
            <w:r>
              <w:rPr>
                <w:rStyle w:val="20"/>
                <w:rFonts w:ascii="Times New Roman" w:hAnsi="Times New Roman" w:eastAsia="方正公文黑体" w:cs="Times New Roman"/>
                <w:color w:val="auto"/>
                <w:lang w:eastAsia="zh-CN"/>
              </w:rPr>
              <w:t>一</w:t>
            </w:r>
            <w:r>
              <w:rPr>
                <w:rStyle w:val="20"/>
                <w:rFonts w:ascii="Times New Roman" w:hAnsi="Times New Roman" w:eastAsia="方正公文黑体" w:cs="Times New Roman"/>
                <w:b w:val="0"/>
                <w:bCs w:val="0"/>
                <w:color w:val="auto"/>
                <w:lang w:eastAsia="zh-CN"/>
              </w:rPr>
              <w:t>、平安法治（</w:t>
            </w:r>
            <w:r>
              <w:rPr>
                <w:rStyle w:val="20"/>
                <w:rFonts w:ascii="Times New Roman" w:hAnsi="Times New Roman" w:eastAsia="方正公文黑体" w:cs="Times New Roman"/>
                <w:b w:val="0"/>
                <w:bCs w:val="0"/>
                <w:color w:val="auto"/>
                <w:lang w:val="en-US" w:eastAsia="zh-CN"/>
              </w:rPr>
              <w:t>1</w:t>
            </w:r>
            <w:r>
              <w:rPr>
                <w:rStyle w:val="20"/>
                <w:rFonts w:ascii="Times New Roman" w:hAnsi="Times New Roman" w:eastAsia="方正公文黑体" w:cs="Times New Roman"/>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县城乡建设和交通运输局：按照工作要求，开展摩托车、人力三轮车、残疾人机动轮椅及装配动力装置的无牌无证车辆管理整治工作。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二、乡村振兴（</w:t>
            </w:r>
            <w:r>
              <w:rPr>
                <w:rStyle w:val="20"/>
                <w:rFonts w:ascii="Times New Roman" w:hAnsi="Times New Roman" w:eastAsia="方正公文黑体" w:cs="Times New Roman"/>
                <w:b w:val="0"/>
                <w:bCs w:val="0"/>
                <w:color w:val="auto"/>
                <w:lang w:val="en-US" w:eastAsia="zh-CN"/>
              </w:rPr>
              <w:t>2项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铁杆庄稼保、乡村振兴“健康保”、“百姓保”、惠民保等保险收缴</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县人力资源和社会保障局、县农业农村局：分别负责铁杆庄稼保、乡村振兴“健康保”、“百姓保”等保险政策宣传。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“富民贷”推广工作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县农业农村局：按照工作要求，负责做好“富民贷”推广工作。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val="en-US" w:eastAsia="zh-CN"/>
              </w:rPr>
            </w:pPr>
            <w:r>
              <w:rPr>
                <w:rStyle w:val="20"/>
                <w:rFonts w:ascii="Times New Roman" w:hAnsi="Times New Roman" w:eastAsia="方正公文黑体" w:cs="Times New Roman"/>
                <w:b w:val="0"/>
                <w:bCs w:val="0"/>
                <w:color w:val="auto"/>
                <w:lang w:eastAsia="zh-CN"/>
              </w:rPr>
              <w:t>三、社会管理（</w:t>
            </w:r>
            <w:r>
              <w:rPr>
                <w:rStyle w:val="20"/>
                <w:rFonts w:ascii="Times New Roman" w:hAnsi="Times New Roman" w:eastAsia="方正公文黑体" w:cs="Times New Roman"/>
                <w:b w:val="0"/>
                <w:bCs w:val="0"/>
                <w:color w:val="auto"/>
                <w:lang w:val="en-US" w:eastAsia="zh-CN"/>
              </w:rPr>
              <w:t>7项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就业帮扶培训</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县人力资源和社会保障局：负责组织开展就业帮扶培训。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固原市劳动力就业信息服务平台系统录入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县人力资源和社会保障局：负责劳动力转移就业情况录入和维护及跟踪服务。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单位招用人员就业登记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县人力资源和社会保障局：负责办理单位招用人员就业登记及相关事宜。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工伤认定调查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县人力资源和社会保障局：负责工伤认定调查。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社会抚养费征收</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城乡供水水费收缴</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default" w:ascii="Times New Roman" w:hAnsi="Times New Roman" w:eastAsia="方正公文仿宋" w:cs="Times New Roman"/>
                <w:i w:val="0"/>
                <w:snapToGrid w:val="0"/>
                <w:color w:val="000000"/>
                <w:kern w:val="0"/>
                <w:sz w:val="21"/>
                <w:szCs w:val="21"/>
                <w:u w:val="none"/>
                <w:lang w:val="en-US" w:eastAsia="zh-CN" w:bidi="ar"/>
              </w:rPr>
              <w:t>县水务局：负责委托第三方水投公司组织收缴</w:t>
            </w:r>
            <w:r>
              <w:rPr>
                <w:rFonts w:hint="eastAsia" w:ascii="Times New Roman" w:hAnsi="Times New Roman" w:eastAsia="方正公文仿宋" w:cs="Times New Roman"/>
                <w:i w:val="0"/>
                <w:snapToGrid w:val="0"/>
                <w:color w:val="000000"/>
                <w:kern w:val="0"/>
                <w:sz w:val="21"/>
                <w:szCs w:val="21"/>
                <w:u w:val="none"/>
                <w:lang w:val="en-US" w:eastAsia="zh-CN" w:bidi="ar"/>
              </w:rPr>
              <w:t>水费</w:t>
            </w:r>
            <w:r>
              <w:rPr>
                <w:rFonts w:hint="default" w:ascii="Times New Roman" w:hAnsi="Times New Roman" w:eastAsia="方正公文仿宋" w:cs="Times New Roman"/>
                <w:i w:val="0"/>
                <w:snapToGrid w:val="0"/>
                <w:color w:val="000000"/>
                <w:kern w:val="0"/>
                <w:sz w:val="21"/>
                <w:szCs w:val="21"/>
                <w:u w:val="none"/>
                <w:lang w:val="en-US" w:eastAsia="zh-CN" w:bidi="ar"/>
              </w:rPr>
              <w:t>；收缴资金纳入财政专户管理。</w:t>
            </w:r>
            <w:bookmarkStart w:id="12" w:name="_GoBack"/>
            <w:bookmarkEnd w:id="1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保障农民工工资支付</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保障农民工工资支付工作的组织协调、管理指导和农民工工资支付情况的监督检查，查处有关拖欠农民工工资案件，督促各工程建设主管部门履行行业监管责任，督办因违法发包、转包、分包、挂靠、拖欠工程款等导致的拖欠农民工工资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val="en-US" w:eastAsia="zh-CN"/>
              </w:rPr>
            </w:pPr>
            <w:r>
              <w:rPr>
                <w:rStyle w:val="20"/>
                <w:rFonts w:ascii="Times New Roman" w:hAnsi="Times New Roman" w:eastAsia="方正公文黑体" w:cs="Times New Roman"/>
                <w:b w:val="0"/>
                <w:bCs w:val="0"/>
                <w:color w:val="auto"/>
                <w:lang w:eastAsia="zh-CN"/>
              </w:rPr>
              <w:t>四、社会保障（</w:t>
            </w:r>
            <w:r>
              <w:rPr>
                <w:rStyle w:val="20"/>
                <w:rFonts w:ascii="Times New Roman" w:hAnsi="Times New Roman" w:eastAsia="方正公文黑体" w:cs="Times New Roman"/>
                <w:b w:val="0"/>
                <w:bCs w:val="0"/>
                <w:color w:val="auto"/>
                <w:lang w:val="en-US" w:eastAsia="zh-CN"/>
              </w:rPr>
              <w:t>6项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县人力资源和社会保障局：负责城乡居民基本医疗保险已缴费人员统计。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对擅自新建殡葬设施的处罚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县民政和退役军人事务局：负责对未经批准擅自兴建殡葬设施行为的监督管理，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对采取虚报、隐瞒、伪造等手段，骗取享受城乡居民最低生活保障待遇等情形的处罚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县民政和退役军人事务局：负责对采取虚报、隐瞒、伪造等手段，骗取享受城乡居民最低生活保障待遇等情形监督管理，发现上述行为依法予以查处。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每季度统计全乡新婚人数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县民政和退役军人事务局：负责新婚人数统计。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对特困人员生活自理能力评估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县民政和退役军人事务局：对特困人员生活自理能力进行评估。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对违规领取各类社会救助资金的追缴工作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县民政和退役军人事务局：负责对违规领取各类社会救助资金的追缴工作。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五、自然资源（</w:t>
            </w:r>
            <w:r>
              <w:rPr>
                <w:rStyle w:val="20"/>
                <w:rFonts w:ascii="Times New Roman" w:hAnsi="Times New Roman" w:eastAsia="方正公文黑体" w:cs="Times New Roman"/>
                <w:b w:val="0"/>
                <w:bCs w:val="0"/>
                <w:color w:val="auto"/>
                <w:lang w:val="en-US" w:eastAsia="zh-CN"/>
              </w:rPr>
              <w:t>26项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耕地属性判定、基本农田区域划定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县自然资源局：负责会同农业农村局组织实施耕地属性判定、基本农田区域划定。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县林业和草原局：负责对在草原管理、保护、建设、合理利用和科学研究等工作中做出显著成绩的单位和个人的奖励。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出具群众苗木种植情况、树木种类、苗木销售、苗木检疫等证明</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w:t>
            </w:r>
            <w:r>
              <w:rPr>
                <w:rFonts w:ascii="Times New Roman" w:hAnsi="Times New Roman" w:eastAsia="方正公文仿宋" w:cs="Times New Roman"/>
                <w:i w:val="0"/>
                <w:snapToGrid w:val="0"/>
                <w:color w:val="000000"/>
                <w:kern w:val="0"/>
                <w:sz w:val="21"/>
                <w:szCs w:val="21"/>
                <w:u w:val="none"/>
                <w:lang w:val="en-US" w:eastAsia="zh-CN"/>
              </w:rPr>
              <w:t>负责出具群众苗木种植情况、树木种类、苗木销售、苗木检疫等证明。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对林业有害生物的监测、检疫、防治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县林业和草原局：负责对林业有害生物的监测、检疫、防治。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县林业和草原局：负责代为恢复植被和林业生产条件或代为补种树木。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水工程安全管理监督检查（对水库大坝的定期检查和监督管理）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县水务局：做好水工程领域水库大坝的定期检查和监督管理。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sz w:val="21"/>
                <w:szCs w:val="21"/>
                <w:lang w:eastAsia="zh-CN"/>
              </w:rPr>
            </w:pPr>
            <w:r>
              <w:rPr>
                <w:rFonts w:ascii="Times New Roman" w:hAnsi="Times New Roman" w:eastAsia="方正公文仿宋" w:cs="Times New Roman"/>
                <w:i w:val="0"/>
                <w:snapToGrid w:val="0"/>
                <w:color w:val="auto"/>
                <w:kern w:val="0"/>
                <w:sz w:val="21"/>
                <w:szCs w:val="21"/>
                <w:u w:val="none"/>
                <w:lang w:val="en-US" w:eastAsia="zh-CN"/>
              </w:rPr>
              <w:t>23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对临时建设和临时用地的监督检查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县自然资源局：加强对临时建设和临时用地的监督检查。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sz w:val="21"/>
                <w:szCs w:val="21"/>
                <w:lang w:eastAsia="zh-CN"/>
              </w:rPr>
            </w:pPr>
            <w:r>
              <w:rPr>
                <w:rFonts w:ascii="Times New Roman" w:hAnsi="Times New Roman" w:eastAsia="方正公文仿宋" w:cs="Times New Roman"/>
                <w:i w:val="0"/>
                <w:snapToGrid w:val="0"/>
                <w:color w:val="auto"/>
                <w:kern w:val="0"/>
                <w:sz w:val="21"/>
                <w:szCs w:val="21"/>
                <w:u w:val="none"/>
                <w:lang w:val="en-US" w:eastAsia="zh-CN"/>
              </w:rPr>
              <w:t>24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对非法占用土地的处罚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县农业农村局：负责对非法占用土地行为的监督管理，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县自然资源局：负责对破坏或者擅自改变基本农田保护区标志的违法行为监管，</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对在森林防火期、森林防火区内擅自野外用火行为的处罚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县林业和草原局：负责对在森林防火期、森林防火区内擅自野外用火行为的监督管理，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对禁牧期和禁牧区域放牧或者休牧期、轮牧区抢牧、滥牧的处罚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县林业和草原局：负责对禁牧期和禁牧区域放牧或者休牧期、轮牧区抢牧、滥牧行为的监督管理，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对临时占用林地逾期不归还行为的处罚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县林业和草原局：负责对临时占用林地逾期不归还行为的监督管理，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对收购没有林木采伐许可证或者其他合法来源证明的木材行为的处罚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县林业和草原局：负责对收购没有林木采伐许可证或者其他合法来源证明的木材行为的监督管理，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对未采取防沙治沙措施造成土地严重沙化行为的处罚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县林业和草原局：负责对未采取防沙治沙措施造成土地严重沙化行为的监督管理，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对在幼林地砍柴、毁苗、放牧造成林木毁坏行为的处罚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县林业和草原局：负责对在幼林地砍柴、毁苗、放牧造成林木毁坏行为的监督管理，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对围湖造地或者未经批准围垦河道阻碍行洪等行为的处罚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县水务局：负责对围湖造地或者未经批准围垦河道阻碍行洪等行为的监督管理，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对未经批准擅自取水或未依照批准的取水许可规定条件取水的处罚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县水务局：负责对未经批准擅自取水或未依照批准的取水许可规定条件取水行为的监督管理，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对侵占、毁坏水工程及水利设施、从事影响水利工程安全行为的处罚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县水务局：负责对侵占、毁坏水工程及水利设施、从事影响水利工程安全行为的监督管理，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对侵占、破坏水源和抗旱设施行为的处罚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县水务局：负责对侵占、破坏水源和抗旱设施行为的监督管理，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对单位和个人占用行水、蓄水区域或因生产、集市贸易或者其它活动使行洪沟道成为通行道行为的处罚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县水务局：负责对单位和个人占用行水、蓄水区域或因生产、集市贸易或者其他活动使行洪沟道成为通行道行为的监督管理，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对未经批准，擅自在水工程管理范围内开采地下资源或者进行考古发掘等行为的处罚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县水务局：负责对未经批准，擅自在水工程管理范围内开采地下资源或者进行考古发掘等行为的监督管理，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对在崩塌、滑坡危险区或者泥石流易发区从事取土、挖砂、采石等可能造成水土流失的行为的处罚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县水务局：负责对在崩塌、滑坡危险区或者泥石流易发区从事取土、挖砂、采石等可能造成水土流失的行为的监督管理，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对在禁止开垦坡度以上陡坡地开垦种植农作物或者在禁止开垦、开发的植物保护带内开垦、开发行为的处罚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县水务局：负责对在禁止开垦坡度以上陡坡地开垦种植农作物或者在禁止开垦、开发的植物保护带内开垦、开发行为的监督管理，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对采集发菜或者在水土流失重点预防区和重点治理区铲草皮、挖树兜、滥挖虫草、甘草、麻黄等行为的处罚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县水务局：负责对采集发菜或者在水土流失重点预防区和重点治理区铲草皮、挖树兜、滥挖虫草、甘草、麻黄等行为的监督管理，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对在河流、湖泊、水库、渠道以及专门存放地以外的沟道倾倒固体废弃物的处罚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县水务局：负责对在河流、湖泊、水库、渠道以及专门存放地以外的沟道倾倒固体废弃物行为的监督管理，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拆除禁牧区域内私搭乱建羊圈</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县林业和草原局：负责拆除禁牧区域内私搭乱建羊圈。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六、生态环保（</w:t>
            </w:r>
            <w:r>
              <w:rPr>
                <w:rStyle w:val="20"/>
                <w:rFonts w:ascii="Times New Roman" w:hAnsi="Times New Roman" w:eastAsia="方正公文黑体" w:cs="Times New Roman"/>
                <w:b w:val="0"/>
                <w:bCs w:val="0"/>
                <w:color w:val="auto"/>
                <w:lang w:val="en-US" w:eastAsia="zh-CN"/>
              </w:rPr>
              <w:t>10项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国省干线用地范围内环境整治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宁夏公路管理中心固原分中心：按照工作要求，对国省干线用地范围内环境整治。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河道私设排污口监管</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固原市生态环境局泾源分局：负责本行政区域入河排污口设置审批、登记和监督管理。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辖区内蓄水池、水源、河道维护清淤工作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w:t>
            </w:r>
            <w:r>
              <w:rPr>
                <w:rFonts w:hint="eastAsia" w:ascii="Times New Roman" w:hAnsi="Times New Roman" w:eastAsia="方正公文仿宋" w:cs="Times New Roman"/>
                <w:i w:val="0"/>
                <w:snapToGrid w:val="0"/>
                <w:color w:val="auto"/>
                <w:kern w:val="0"/>
                <w:sz w:val="21"/>
                <w:szCs w:val="21"/>
                <w:u w:val="none"/>
                <w:lang w:val="en-US" w:eastAsia="zh-CN"/>
              </w:rPr>
              <w:t>负责</w:t>
            </w:r>
            <w:r>
              <w:rPr>
                <w:rFonts w:hint="eastAsia" w:ascii="Times New Roman" w:hAnsi="Times New Roman" w:eastAsia="方正公文仿宋" w:cs="Times New Roman"/>
                <w:i w:val="0"/>
                <w:snapToGrid w:val="0"/>
                <w:color w:val="000000"/>
                <w:kern w:val="0"/>
                <w:sz w:val="21"/>
                <w:szCs w:val="21"/>
                <w:u w:val="none"/>
                <w:lang w:val="en-US" w:eastAsia="zh-CN"/>
              </w:rPr>
              <w:t>对河道清淤项目的招投标；组织实施清淤项目；监督检查施工进度；完成清淤项目验收及资金兑付。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燃煤锅炉、工业窑炉排查整治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固原市生态环境局泾源分局：组织开展排查，研究制定排查整治实施方案，明确排查范围、标准，整治工作计划、技术路线、经费保障等并组织实施。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清理企业违法违规产能</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县工业信息化和商务局：按照职责分工负责组织开展清理违法违规产能，明确淘汰和落后过剩产能标准并列出名单，依法依规对行政许可手续不全、责令整改不达标的企业予以查处。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固原市生态环境局泾源分局：负责开展辖区内非道路机械摸排、登记工作。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辖区施工企业环境卫生备案</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县城乡建设和交通运输局：负责开展施工企业环境卫生备案工作。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对在县级以上人民政府划定区域内露天焚烧秸秆、落叶、枯草等产生烟尘污染的物质的处罚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县农业农村局：负责对在县级以上人民政府划定区域内露天焚烧秸秆、落叶、枯草等产生烟尘污染的物质行为的监督管理，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建设项目环境保护设施竣工验收</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防治污染设施的拆除或闲置批准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七、城乡建设（</w:t>
            </w:r>
            <w:r>
              <w:rPr>
                <w:rStyle w:val="20"/>
                <w:rFonts w:hint="eastAsia" w:ascii="Times New Roman" w:hAnsi="Times New Roman" w:eastAsia="方正公文黑体" w:cs="Times New Roman"/>
                <w:b w:val="0"/>
                <w:bCs w:val="0"/>
                <w:color w:val="auto"/>
                <w:lang w:val="en-US" w:eastAsia="zh-CN"/>
              </w:rPr>
              <w:t>15</w:t>
            </w:r>
            <w:r>
              <w:rPr>
                <w:rStyle w:val="20"/>
                <w:rFonts w:ascii="Times New Roman" w:hAnsi="Times New Roman" w:eastAsia="方正公文黑体" w:cs="Times New Roman"/>
                <w:b w:val="0"/>
                <w:bCs w:val="0"/>
                <w:color w:val="auto"/>
                <w:lang w:val="en-US" w:eastAsia="zh-CN"/>
              </w:rPr>
              <w:t>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旅游厕所建设和管理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县文化旅游广电局：负责配备专门人员、资金等对旅游公厕进行管理和建设。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辖区农村公路施工活动审批</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县城乡建设和交通运输局：负责做好辖区农村公路施工活动审批工作。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县自然资源局：负责对临时建筑物、构筑物和其他设施限期拆除期满仍不拆除的强制拆除。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对建设单位和个人未经批准进行临时建设、未按照批准内容进行临时建设、临时建筑物、构筑物超过批准权限不拆除的处罚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县自然资源局：负责对建设单位和个人未经批准进行临时建设、未按照批准内容进行临时建设、临时建筑物、构筑物超过批准权限不拆除等行为的监督管理，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对未取得建设工程规划许可证或者未按照建设工程规划许可证的规定进行建设的处罚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县自然资源局：负责对未取得建设工程规划许可证或者未按照建设工程规划许可证的规定进行建设的行为的监督管理，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对随意倾倒、抛洒、堆放城市生活垃圾的处罚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县城乡建设和交通运输局：负责对随意倾倒、抛洒、堆放城市生活垃圾等行为的监督管理，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对从事城市生活垃圾经营性清扫、收集、运输的企业在运输过程中沿途丢弃、遗撒生活垃圾的处罚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县城乡建设和交通运输局：负责对从事城市生活垃圾经营性清扫、收集、运输的企业在运输过程中沿途丢弃、遗撒生活垃圾等行为的监督管理，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对物业服务企业将一个物业管理区域内的全部物业管理一并委托给他人的处罚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县城乡建设和交通运输局：负责对物业服务企业将一个物业管理区域内的全部物业管理一并委托给他人行为的监督管理，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对建筑垃圾储运消纳场受纳工业垃圾、生活垃圾和有毒有害垃圾的处罚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县城乡建设和交通运输局：负责对建筑垃圾储运消纳场受纳工业垃圾、生活垃圾和有毒有害垃圾行为的监督管理，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对施工单位未及时清运工程施工过程中产生的建筑垃圾的处罚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县城乡建设和交通运输局：负责对施工单位未及时清运工程施工过程中产生的建筑垃圾行为的监督管理，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对单位和个人随意倾倒、抛撒或者堆放建筑垃圾的处罚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县城乡建设和交通运输局：负责对单位和个人随意倾倒、抛撒或者堆放建筑垃圾行为的监督管理，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对在运输建筑垃圾过程中沿途丢弃、遗撒建筑垃圾的处罚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县城乡建设和交通运输局：负责对在运输建筑垃圾过程中沿途丢弃、遗撒建筑垃圾行为的监督管理，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对擅自拆除、迁移环境卫生设施的处罚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县城乡建设和交通运输局：负责对擅自拆除、迁移环境卫生设施行为的监督管理，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对在公共场所随地吐痰、擤鼻涕、便溺的；单位或者个人违反《城市市容和环境卫生管理条例》规定，在市区内饲养家畜家禽的处罚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县城乡建设和交通运输局：负责对在公共场所随地吐痰、擤鼻涕、便溺的；单位或者个人违反《城市市容和环境卫生管理条例》规定，在市区内饲养家畜家禽的等行为的监督管理，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八、卫生健康（</w:t>
            </w:r>
            <w:r>
              <w:rPr>
                <w:rStyle w:val="20"/>
                <w:rFonts w:ascii="Times New Roman" w:hAnsi="Times New Roman" w:eastAsia="方正公文黑体" w:cs="Times New Roman"/>
                <w:b w:val="0"/>
                <w:bCs w:val="0"/>
                <w:color w:val="auto"/>
                <w:lang w:val="en-US" w:eastAsia="zh-CN"/>
              </w:rPr>
              <w:t>1项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68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对在禁止吸烟场所吸烟的处罚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县卫生健康局：负责对在禁止吸烟场所吸烟等行为的监督管理，发现上述行为依法予以查处。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九、应急管理及消防（</w:t>
            </w:r>
            <w:r>
              <w:rPr>
                <w:rStyle w:val="20"/>
                <w:rFonts w:ascii="Times New Roman" w:hAnsi="Times New Roman" w:eastAsia="方正公文黑体" w:cs="Times New Roman"/>
                <w:b w:val="0"/>
                <w:bCs w:val="0"/>
                <w:color w:val="auto"/>
                <w:lang w:val="en-US" w:eastAsia="zh-CN"/>
              </w:rPr>
              <w:t>9项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lang w:val="en-US" w:eastAsia="zh-CN"/>
              </w:rPr>
            </w:pPr>
            <w:r>
              <w:rPr>
                <w:rFonts w:ascii="Times New Roman" w:hAnsi="Times New Roman" w:eastAsia="方正公文仿宋" w:cs="Times New Roman"/>
                <w:i w:val="0"/>
                <w:snapToGrid w:val="0"/>
                <w:color w:val="000000"/>
                <w:kern w:val="0"/>
                <w:sz w:val="21"/>
                <w:szCs w:val="21"/>
                <w:u w:val="none"/>
                <w:lang w:val="en-US" w:eastAsia="zh-CN"/>
              </w:rPr>
              <w:t>69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危险化学品排查整治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县应急管理局：负责加强危险化学品安全监管。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建立微型消防站</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县消防救援大队：负责建立微型消防站。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县应急管理局：负责对粉尘涉爆企业实施安全监督管理。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对占用、堵塞、封闭疏散通道、安全出口或者有其他妨碍安全疏散行为的处罚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县消防救援大队：负责对占用、堵塞、封闭疏散通道、安全出口或者有其他妨碍安全疏散等行为的监督管理，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对埋压、圈占、遮挡消火栓或者占用防火间距的处罚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县消防救援大队：负责对埋压、圈占、遮挡消火栓或者占用防火间距等行为的监督管理，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县消防救援大队：负责对占用、堵塞、封闭消防车通道、妨碍消防车通行等行为的监督管理，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对人员密集场所在门窗上设置影响疏散逃生和灭火救援的障碍物的处罚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县消防救援大队：负责对人员密集场所在门窗上设置影响疏散逃生和灭火救援的障碍物等行为的监督管理，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对在高层民用建筑的公共门厅、疏散走道、楼梯间、安全出口停放电动自行车或者为电动自行车充电，拒不改正的处罚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县消防救援大队：负责对在高层民用建筑的公共门厅、疏散走道、楼梯间、安全出口停放电动自行车或者为电动自行车充电，拒不改正等行为的监督管理，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对辖区内加油站开展安全生产检查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县应急管理局、县工业信息化和商务局：</w:t>
            </w:r>
            <w:r>
              <w:rPr>
                <w:rFonts w:ascii="Times New Roman" w:hAnsi="Times New Roman" w:eastAsia="方正公文仿宋" w:cs="Times New Roman"/>
                <w:i w:val="0"/>
                <w:snapToGrid w:val="0"/>
                <w:color w:val="000000"/>
                <w:kern w:val="0"/>
                <w:sz w:val="21"/>
                <w:szCs w:val="21"/>
                <w:u w:val="none"/>
                <w:lang w:eastAsia="zh-CN"/>
              </w:rPr>
              <w:t>按照职责分工，</w:t>
            </w:r>
            <w:r>
              <w:rPr>
                <w:rFonts w:hint="eastAsia" w:ascii="Times New Roman" w:hAnsi="Times New Roman" w:eastAsia="方正公文仿宋" w:cs="Times New Roman"/>
                <w:i w:val="0"/>
                <w:snapToGrid w:val="0"/>
                <w:color w:val="000000"/>
                <w:kern w:val="0"/>
                <w:sz w:val="21"/>
                <w:szCs w:val="21"/>
                <w:u w:val="none"/>
                <w:lang w:val="en-US" w:eastAsia="zh-CN"/>
              </w:rPr>
              <w:t>负责对全县加油站开展安全生产监督检查。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十、市场监管（</w:t>
            </w:r>
            <w:r>
              <w:rPr>
                <w:rStyle w:val="20"/>
                <w:rFonts w:ascii="Times New Roman" w:hAnsi="Times New Roman" w:eastAsia="方正公文黑体" w:cs="Times New Roman"/>
                <w:b w:val="0"/>
                <w:bCs w:val="0"/>
                <w:color w:val="auto"/>
                <w:lang w:val="en-US" w:eastAsia="zh-CN"/>
              </w:rPr>
              <w:t>4项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烟花爆竹许可证书办理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县应急管理局：负责办理烟花爆竹许可证书。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特种设备专项整治和监管执法</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县市场监督管理局：负责特种设备专项整治和监管执法。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特种设备事故调查处理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县市场监督管理局：负责特种设备事故调查处理。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对特种设备事故应急处置</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县市场监督管理局：负责对特种设备事故应急处置。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十一、教育培训监管（</w:t>
            </w:r>
            <w:r>
              <w:rPr>
                <w:rStyle w:val="20"/>
                <w:rFonts w:ascii="Times New Roman" w:hAnsi="Times New Roman" w:eastAsia="方正公文黑体" w:cs="Times New Roman"/>
                <w:b w:val="0"/>
                <w:bCs w:val="0"/>
                <w:color w:val="auto"/>
                <w:lang w:val="en-US" w:eastAsia="zh-CN"/>
              </w:rPr>
              <w:t>3项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出具适龄儿童、少年到非户籍所在地入学申请证明</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县教育体育局：负责出具适龄儿童、少年到非户籍所在地入学申请证明。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适龄儿童、少年因身体状况需要延缓入学或者休学审批</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县教育体育局：负责对适龄儿童、少年因身体状况需要延缓入学或者休学的进行审批。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涉校涉生安全管理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县教育体育局：负责开展学校安全生产排查、隐患整改等工作。</w:t>
            </w:r>
          </w:p>
        </w:tc>
      </w:tr>
    </w:tbl>
    <w:p>
      <w:pPr>
        <w:pStyle w:val="3"/>
        <w:keepNext/>
        <w:keepLines/>
        <w:pageBreakBefore w:val="0"/>
        <w:widowControl/>
        <w:kinsoku/>
        <w:wordWrap/>
        <w:overflowPunct/>
        <w:topLinePunct w:val="0"/>
        <w:autoSpaceDE w:val="0"/>
        <w:autoSpaceDN w:val="0"/>
        <w:bidi w:val="0"/>
        <w:adjustRightInd w:val="0"/>
        <w:snapToGrid w:val="0"/>
        <w:spacing w:before="0" w:after="0" w:line="240" w:lineRule="auto"/>
        <w:jc w:val="center"/>
        <w:rPr>
          <w:rFonts w:ascii="Times New Roman" w:hAnsi="Times New Roman" w:eastAsia="方正小标宋_GBK" w:cs="Times New Roman"/>
          <w:color w:val="auto"/>
          <w:spacing w:val="7"/>
          <w:lang w:eastAsia="zh-CN"/>
        </w:rPr>
      </w:pPr>
    </w:p>
    <w:p>
      <w:pPr>
        <w:pageBreakBefore w:val="0"/>
        <w:widowControl/>
        <w:kinsoku/>
        <w:wordWrap/>
        <w:overflowPunct/>
        <w:topLinePunct w:val="0"/>
        <w:autoSpaceDE w:val="0"/>
        <w:autoSpaceDN w:val="0"/>
        <w:bidi w:val="0"/>
        <w:adjustRightInd w:val="0"/>
        <w:snapToGrid w:val="0"/>
        <w:rPr>
          <w:rFonts w:ascii="Times New Roman" w:hAnsi="Times New Roman" w:eastAsia="等线" w:cs="Times New Roman"/>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Noto Naskh Arabic"/>
    <w:panose1 w:val="020B0602030504020204"/>
    <w:charset w:val="00"/>
    <w:family w:val="auto"/>
    <w:pitch w:val="default"/>
    <w:sig w:usb0="00000000" w:usb1="00000000" w:usb2="00000000" w:usb3="00000000" w:csb0="20000001" w:csb1="00000000"/>
  </w:font>
  <w:font w:name="文泉驿正黑">
    <w:altName w:val="方正黑体_GBK"/>
    <w:panose1 w:val="02000603000000000000"/>
    <w:charset w:val="86"/>
    <w:family w:val="script"/>
    <w:pitch w:val="default"/>
    <w:sig w:usb0="00000000" w:usb1="00000000" w:usb2="00000036" w:usb3="00000000" w:csb0="603E000D" w:csb1="D2D70000"/>
  </w:font>
  <w:font w:name="等线">
    <w:altName w:val="方正黑体_GBK"/>
    <w:panose1 w:val="02010600030101010101"/>
    <w:charset w:val="86"/>
    <w:family w:val="auto"/>
    <w:pitch w:val="default"/>
    <w:sig w:usb0="00000000" w:usb1="00000000" w:usb2="00000016" w:usb3="00000000" w:csb0="0004000F" w:csb1="00000000"/>
  </w:font>
  <w:font w:name="方正公文仿宋">
    <w:panose1 w:val="02000000000000000000"/>
    <w:charset w:val="86"/>
    <w:family w:val="auto"/>
    <w:pitch w:val="default"/>
    <w:sig w:usb0="00000001" w:usb1="08000000" w:usb2="00000000" w:usb3="00000000" w:csb0="00040000" w:csb1="00000000"/>
  </w:font>
  <w:font w:name="等线 Light">
    <w:altName w:val="方正黑体_GBK"/>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公文小标宋">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panose1 w:val="02000000000000000000"/>
    <w:charset w:val="86"/>
    <w:family w:val="auto"/>
    <w:pitch w:val="default"/>
    <w:sig w:usb0="00000001" w:usb1="0800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Noto Naskh Arabic">
    <w:panose1 w:val="020B0502040504020204"/>
    <w:charset w:val="00"/>
    <w:family w:val="auto"/>
    <w:pitch w:val="default"/>
    <w:sig w:usb0="00002000" w:usb1="80000000" w:usb2="00000008" w:usb3="00000000" w:csb0="00000041" w:csb1="0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ascii="宋体" w:hAnsi="宋体" w:eastAsia="宋体"/>
      </w:rPr>
    </w:pPr>
    <w:r>
      <w:rPr>
        <w:lang w:eastAsia="zh-CN"/>
      </w:rP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76200" cy="260350"/>
              <wp:effectExtent l="0" t="0" r="0" b="0"/>
              <wp:wrapNone/>
              <wp:docPr id="1" name="文本框 1"/>
              <wp:cNvGraphicFramePr/>
              <a:graphic xmlns:a="http://schemas.openxmlformats.org/drawingml/2006/main">
                <a:graphicData uri="http://schemas.microsoft.com/office/word/2010/wordprocessingShape">
                  <wps:wsp>
                    <wps:cNvSpPr/>
                    <wps:spPr>
                      <a:xfrm>
                        <a:off x="0" y="0"/>
                        <a:ext cx="76200" cy="260449"/>
                      </a:xfrm>
                      <a:prstGeom prst="rect">
                        <a:avLst/>
                      </a:prstGeom>
                      <a:noFill/>
                      <a:ln cap="flat" cmpd="sng">
                        <a:noFill/>
                        <a:prstDash val="solid"/>
                        <a:round/>
                      </a:ln>
                    </wps:spPr>
                    <wps:txbx>
                      <w:txbxContent>
                        <w:p>
                          <w:pPr>
                            <w:pStyle w:val="8"/>
                            <w:rPr>
                              <w:rStyle w:val="14"/>
                              <w:rFonts w:ascii="宋体" w:hAnsi="宋体" w:eastAsia="宋体"/>
                              <w:sz w:val="28"/>
                              <w:szCs w:val="28"/>
                            </w:rPr>
                          </w:pPr>
                        </w:p>
                      </w:txbxContent>
                    </wps:txbx>
                    <wps:bodyPr vert="horz" wrap="none" lIns="0" tIns="0" rIns="0" bIns="0" anchor="t" anchorCtr="false" upright="false">
                      <a:spAutoFit/>
                    </wps:bodyPr>
                  </wps:wsp>
                </a:graphicData>
              </a:graphic>
            </wp:anchor>
          </w:drawing>
        </mc:Choice>
        <mc:Fallback>
          <w:pict>
            <v:rect id="文本框 1" o:spid="_x0000_s1026" o:spt="1" style="position:absolute;left:0pt;margin-top:0pt;height:20.5pt;width:6pt;mso-position-horizontal:center;mso-position-horizontal-relative:margin;mso-wrap-style:none;z-index:1024;mso-width-relative:page;mso-height-relative:page;" filled="f" stroked="f" coordsize="21600,21600" o:gfxdata="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sA/570AAAAAMBAAAPAAAAAAAAAAEAIAAAADgAAABkcnMvZG93bnJldi54bWxQSwECFAAU&#10;AAAACACHTuJAnKSlGeMBAACkAwAADgAAAAAAAAABACAAAAA1AQAAZHJzL2Uyb0RvYy54bWxQSwUG&#10;AAAAAAYABgBZAQAAigUAAAAA&#10;">
              <v:fill on="f" focussize="0,0"/>
              <v:stroke on="f" joinstyle="round"/>
              <v:imagedata o:title=""/>
              <o:lock v:ext="edit" aspectratio="f"/>
              <v:textbox inset="0mm,0mm,0mm,0mm" style="mso-fit-shape-to-text:t;">
                <w:txbxContent>
                  <w:p>
                    <w:pPr>
                      <w:pStyle w:val="8"/>
                      <w:rPr>
                        <w:rStyle w:val="14"/>
                        <w:rFonts w:ascii="宋体" w:hAnsi="宋体" w:eastAsia="宋体"/>
                        <w:sz w:val="28"/>
                        <w:szCs w:val="2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10"/>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rsids>
    <w:rsidRoot w:val="00000000"/>
    <w:rsid w:val="2B3FB630"/>
    <w:rsid w:val="75D4A4BA"/>
    <w:rsid w:val="D69BDED1"/>
    <w:rsid w:val="EF764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paragraph" w:styleId="3">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7"/>
    <w:qFormat/>
    <w:uiPriority w:val="0"/>
    <w:pPr>
      <w:keepNext/>
      <w:keepLines/>
      <w:spacing w:before="260" w:after="260" w:line="415" w:lineRule="auto"/>
      <w:outlineLvl w:val="1"/>
    </w:pPr>
    <w:rPr>
      <w:rFonts w:ascii="文泉驿正黑" w:hAnsi="文泉驿正黑" w:eastAsia="黑体"/>
      <w:b/>
      <w:bCs/>
      <w:sz w:val="32"/>
      <w:szCs w:val="32"/>
    </w:rPr>
  </w:style>
  <w:style w:type="paragraph" w:styleId="5">
    <w:name w:val="heading 3"/>
    <w:basedOn w:val="1"/>
    <w:next w:val="1"/>
    <w:link w:val="18"/>
    <w:qFormat/>
    <w:uiPriority w:val="0"/>
    <w:pPr>
      <w:keepNext/>
      <w:keepLines/>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b/>
      <w:sz w:val="32"/>
    </w:rPr>
  </w:style>
  <w:style w:type="paragraph" w:styleId="6">
    <w:name w:val="Body Text"/>
    <w:basedOn w:val="1"/>
    <w:qFormat/>
    <w:uiPriority w:val="0"/>
  </w:style>
  <w:style w:type="paragraph" w:styleId="7">
    <w:name w:val="toc 3"/>
    <w:basedOn w:val="1"/>
    <w:next w:val="1"/>
    <w:qFormat/>
    <w:uiPriority w:val="0"/>
    <w:pPr>
      <w:kinsoku/>
      <w:autoSpaceDE/>
      <w:autoSpaceDN/>
      <w:adjustRightInd/>
      <w:snapToGrid/>
      <w:spacing w:after="100" w:line="259" w:lineRule="auto"/>
      <w:ind w:left="440"/>
      <w:textAlignment w:val="auto"/>
    </w:pPr>
    <w:rPr>
      <w:rFonts w:ascii="等线" w:hAnsi="等线" w:eastAsia="等线" w:cs="Times New Roman"/>
      <w:snapToGrid/>
      <w:color w:val="auto"/>
      <w:sz w:val="22"/>
      <w:szCs w:val="22"/>
      <w:lang w:eastAsia="zh-CN"/>
    </w:rPr>
  </w:style>
  <w:style w:type="paragraph" w:styleId="8">
    <w:name w:val="footer"/>
    <w:basedOn w:val="1"/>
    <w:qFormat/>
    <w:uiPriority w:val="0"/>
    <w:pPr>
      <w:tabs>
        <w:tab w:val="center" w:pos="4153"/>
        <w:tab w:val="right" w:pos="8306"/>
      </w:tabs>
    </w:pPr>
    <w:rPr>
      <w:sz w:val="18"/>
      <w:szCs w:val="18"/>
    </w:rPr>
  </w:style>
  <w:style w:type="paragraph" w:styleId="9">
    <w:name w:val="header"/>
    <w:basedOn w:val="1"/>
    <w:qFormat/>
    <w:uiPriority w:val="0"/>
    <w:pPr>
      <w:pBdr>
        <w:bottom w:val="single" w:color="auto" w:sz="6" w:space="1"/>
      </w:pBdr>
      <w:tabs>
        <w:tab w:val="center" w:pos="4153"/>
        <w:tab w:val="right" w:pos="8306"/>
      </w:tabs>
      <w:jc w:val="center"/>
    </w:pPr>
    <w:rPr>
      <w:sz w:val="18"/>
      <w:szCs w:val="18"/>
    </w:rPr>
  </w:style>
  <w:style w:type="paragraph" w:styleId="10">
    <w:name w:val="toc 1"/>
    <w:basedOn w:val="1"/>
    <w:next w:val="1"/>
    <w:qFormat/>
    <w:uiPriority w:val="0"/>
    <w:pPr>
      <w:numPr>
        <w:ilvl w:val="0"/>
        <w:numId w:val="1"/>
      </w:numPr>
    </w:pPr>
    <w:rPr>
      <w:rFonts w:ascii="Times New Roman" w:hAnsi="Times New Roman" w:eastAsia="方正公文仿宋"/>
      <w:sz w:val="32"/>
    </w:rPr>
  </w:style>
  <w:style w:type="paragraph" w:styleId="11">
    <w:name w:val="toc 2"/>
    <w:basedOn w:val="1"/>
    <w:next w:val="1"/>
    <w:qFormat/>
    <w:uiPriority w:val="0"/>
    <w:pPr>
      <w:kinsoku/>
      <w:autoSpaceDE/>
      <w:autoSpaceDN/>
      <w:adjustRightInd/>
      <w:snapToGrid/>
      <w:spacing w:after="100" w:line="259" w:lineRule="auto"/>
      <w:ind w:left="220"/>
      <w:textAlignment w:val="auto"/>
    </w:pPr>
    <w:rPr>
      <w:rFonts w:ascii="等线" w:hAnsi="等线" w:eastAsia="等线" w:cs="Times New Roman"/>
      <w:snapToGrid/>
      <w:color w:val="auto"/>
      <w:sz w:val="22"/>
      <w:szCs w:val="22"/>
      <w:lang w:eastAsia="zh-CN"/>
    </w:rPr>
  </w:style>
  <w:style w:type="character" w:styleId="14">
    <w:name w:val="page number"/>
    <w:qFormat/>
    <w:uiPriority w:val="0"/>
  </w:style>
  <w:style w:type="character" w:styleId="15">
    <w:name w:val="Hyperlink"/>
    <w:basedOn w:val="13"/>
    <w:qFormat/>
    <w:uiPriority w:val="0"/>
    <w:rPr>
      <w:color w:val="0563C1"/>
      <w:u w:val="single"/>
    </w:rPr>
  </w:style>
  <w:style w:type="character" w:customStyle="1" w:styleId="16">
    <w:name w:val="heading 1 Char"/>
    <w:basedOn w:val="13"/>
    <w:link w:val="3"/>
    <w:qFormat/>
    <w:uiPriority w:val="0"/>
    <w:rPr>
      <w:rFonts w:ascii="Arial" w:hAnsi="Arial" w:eastAsia="Arial" w:cs="Arial"/>
      <w:b/>
      <w:bCs/>
      <w:snapToGrid w:val="0"/>
      <w:color w:val="000000"/>
      <w:kern w:val="44"/>
      <w:sz w:val="44"/>
      <w:szCs w:val="44"/>
      <w:lang w:val="en-US" w:bidi="ar-SA"/>
    </w:rPr>
  </w:style>
  <w:style w:type="character" w:customStyle="1" w:styleId="17">
    <w:name w:val="heading 2 Char"/>
    <w:basedOn w:val="13"/>
    <w:link w:val="4"/>
    <w:qFormat/>
    <w:uiPriority w:val="0"/>
    <w:rPr>
      <w:rFonts w:ascii="文泉驿正黑" w:hAnsi="Arial" w:eastAsia="黑体" w:cs="Arial"/>
      <w:b/>
      <w:bCs/>
      <w:snapToGrid w:val="0"/>
      <w:color w:val="000000"/>
      <w:kern w:val="0"/>
      <w:sz w:val="32"/>
      <w:szCs w:val="32"/>
      <w:lang w:val="en-US" w:bidi="ar-SA"/>
    </w:rPr>
  </w:style>
  <w:style w:type="character" w:customStyle="1" w:styleId="18">
    <w:name w:val="heading 3 Char"/>
    <w:basedOn w:val="13"/>
    <w:link w:val="5"/>
    <w:qFormat/>
    <w:uiPriority w:val="0"/>
    <w:rPr>
      <w:rFonts w:ascii="Arial" w:hAnsi="Arial" w:eastAsia="Arial" w:cs="Arial"/>
      <w:b/>
      <w:bCs/>
      <w:snapToGrid w:val="0"/>
      <w:color w:val="000000"/>
      <w:kern w:val="0"/>
      <w:sz w:val="32"/>
      <w:szCs w:val="32"/>
      <w:lang w:val="en-US" w:bidi="ar-SA"/>
    </w:rPr>
  </w:style>
  <w:style w:type="paragraph" w:customStyle="1" w:styleId="19">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0">
    <w:name w:val="font21"/>
    <w:qFormat/>
    <w:uiPriority w:val="0"/>
    <w:rPr>
      <w:rFonts w:ascii="Times New Roman" w:hAnsi="Times New Roman" w:cs="Times New Roman"/>
      <w:color w:val="000000"/>
      <w:sz w:val="24"/>
      <w:szCs w:val="24"/>
      <w:u w:val="none"/>
    </w:rPr>
  </w:style>
  <w:style w:type="character" w:customStyle="1" w:styleId="21">
    <w:name w:val="font101"/>
    <w:qFormat/>
    <w:uiPriority w:val="0"/>
    <w:rPr>
      <w:rFonts w:ascii="Times New Roman" w:hAnsi="Times New Roman" w:cs="Times New Roman"/>
      <w:color w:val="000000"/>
      <w:sz w:val="22"/>
      <w:szCs w:val="22"/>
      <w:u w:val="none"/>
    </w:rPr>
  </w:style>
  <w:style w:type="paragraph" w:customStyle="1" w:styleId="22">
    <w:name w:val="TOC Heading"/>
    <w:basedOn w:val="3"/>
    <w:next w:val="1"/>
    <w:qFormat/>
    <w:uiPriority w:val="0"/>
    <w:pPr>
      <w:kinsoku/>
      <w:autoSpaceDE/>
      <w:autoSpaceDN/>
      <w:adjustRightInd/>
      <w:snapToGrid/>
      <w:spacing w:before="240" w:after="0" w:line="259" w:lineRule="auto"/>
      <w:textAlignment w:val="auto"/>
      <w:outlineLvl w:val="9"/>
    </w:pPr>
    <w:rPr>
      <w:rFonts w:ascii="等线 Light" w:hAnsi="等线 Light" w:eastAsia="等线 Light" w:cs="Times New Roman"/>
      <w:b w:val="0"/>
      <w:bCs w:val="0"/>
      <w:snapToGrid/>
      <w:color w:val="2E75B6"/>
      <w:kern w:val="0"/>
      <w:sz w:val="32"/>
      <w:szCs w:val="32"/>
      <w:lang w:eastAsia="zh-CN"/>
    </w:rPr>
  </w:style>
  <w:style w:type="character" w:customStyle="1" w:styleId="23">
    <w:name w:val="font51"/>
    <w:basedOn w:val="13"/>
    <w:qFormat/>
    <w:uiPriority w:val="0"/>
    <w:rPr>
      <w:rFonts w:ascii="仿宋_GB2312" w:eastAsia="仿宋_GB2312" w:cs="仿宋_GB2312"/>
      <w:color w:val="000000"/>
      <w:sz w:val="32"/>
      <w:szCs w:val="32"/>
      <w:u w:val="none"/>
    </w:rPr>
  </w:style>
  <w:style w:type="character" w:customStyle="1" w:styleId="24">
    <w:name w:val="font31"/>
    <w:basedOn w:val="13"/>
    <w:qFormat/>
    <w:uiPriority w:val="0"/>
    <w:rPr>
      <w:rFonts w:ascii="Times New Roman" w:hAnsi="Times New Roman" w:cs="Times New Roman"/>
      <w:color w:val="000000"/>
      <w:sz w:val="32"/>
      <w:szCs w:val="32"/>
      <w:u w:val="none"/>
    </w:rPr>
  </w:style>
  <w:style w:type="character" w:customStyle="1" w:styleId="25">
    <w:name w:val="font41"/>
    <w:basedOn w:val="13"/>
    <w:qFormat/>
    <w:uiPriority w:val="0"/>
    <w:rPr>
      <w:rFonts w:ascii="仿宋_GB2312" w:eastAsia="仿宋_GB2312" w:cs="仿宋_GB2312"/>
      <w:b/>
      <w:color w:val="000000"/>
      <w:sz w:val="32"/>
      <w:szCs w:val="32"/>
      <w:u w:val="none"/>
    </w:rPr>
  </w:style>
  <w:style w:type="character" w:customStyle="1" w:styleId="26">
    <w:name w:val="font01"/>
    <w:basedOn w:val="13"/>
    <w:qFormat/>
    <w:uiPriority w:val="0"/>
    <w:rPr>
      <w:rFonts w:ascii="Times New Roman" w:hAnsi="Times New Roman" w:cs="Times New Roman"/>
      <w:b/>
      <w:color w:val="000000"/>
      <w:sz w:val="32"/>
      <w:szCs w:val="32"/>
      <w:u w:val="none"/>
    </w:rPr>
  </w:style>
  <w:style w:type="character" w:customStyle="1" w:styleId="27">
    <w:name w:val="font11"/>
    <w:basedOn w:val="13"/>
    <w:qFormat/>
    <w:uiPriority w:val="0"/>
    <w:rPr>
      <w:rFonts w:ascii="仿宋_GB2312" w:eastAsia="仿宋_GB2312" w:cs="仿宋_GB2312"/>
      <w:color w:val="000000"/>
      <w:sz w:val="32"/>
      <w:szCs w:val="32"/>
      <w:u w:val="none"/>
    </w:rPr>
  </w:style>
  <w:style w:type="character" w:customStyle="1" w:styleId="28">
    <w:name w:val="font81"/>
    <w:basedOn w:val="13"/>
    <w:qFormat/>
    <w:uiPriority w:val="0"/>
    <w:rPr>
      <w:rFonts w:ascii="Times New Roman" w:hAnsi="Times New Roman" w:cs="Times New Roman"/>
      <w:color w:val="000000"/>
      <w:sz w:val="28"/>
      <w:szCs w:val="28"/>
      <w:u w:val="none"/>
    </w:rPr>
  </w:style>
  <w:style w:type="character" w:customStyle="1" w:styleId="29">
    <w:name w:val="font91"/>
    <w:basedOn w:val="13"/>
    <w:qFormat/>
    <w:uiPriority w:val="0"/>
    <w:rPr>
      <w:rFonts w:ascii="仿宋_GB2312" w:eastAsia="仿宋_GB2312" w:cs="仿宋_GB2312"/>
      <w:color w:val="000000"/>
      <w:sz w:val="28"/>
      <w:szCs w:val="28"/>
      <w:u w:val="none"/>
    </w:rPr>
  </w:style>
  <w:style w:type="character" w:customStyle="1" w:styleId="30">
    <w:name w:val="font112"/>
    <w:basedOn w:val="13"/>
    <w:qFormat/>
    <w:uiPriority w:val="0"/>
    <w:rPr>
      <w:rFonts w:ascii="Times New Roman" w:hAnsi="Times New Roman" w:cs="Times New Roman"/>
      <w:b/>
      <w:color w:val="000000"/>
      <w:sz w:val="28"/>
      <w:szCs w:val="28"/>
      <w:u w:val="none"/>
    </w:rPr>
  </w:style>
  <w:style w:type="character" w:customStyle="1" w:styleId="31">
    <w:name w:val="font71"/>
    <w:basedOn w:val="13"/>
    <w:qFormat/>
    <w:uiPriority w:val="0"/>
    <w:rPr>
      <w:rFonts w:ascii="Times New Roman" w:hAnsi="Times New Roman" w:cs="Times New Roman"/>
      <w:color w:val="000000"/>
      <w:sz w:val="32"/>
      <w:szCs w:val="32"/>
      <w:u w:val="none"/>
    </w:rPr>
  </w:style>
  <w:style w:type="character" w:customStyle="1" w:styleId="32">
    <w:name w:val="font61"/>
    <w:basedOn w:val="13"/>
    <w:qFormat/>
    <w:uiPriority w:val="0"/>
    <w:rPr>
      <w:rFonts w:ascii="仿宋_GB2312" w:eastAsia="仿宋_GB2312" w:cs="仿宋_GB2312"/>
      <w:b/>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tru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true"/>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tru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54</Pages>
  <Words>0</Words>
  <Characters>28495</Characters>
  <Lines>0</Lines>
  <Paragraphs>24</Paragraphs>
  <TotalTime>0</TotalTime>
  <ScaleCrop>false</ScaleCrop>
  <LinksUpToDate>false</LinksUpToDate>
  <CharactersWithSpaces>37994</CharactersWithSpaces>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2024-07-26T20:59:00Z</dcterms:created>
  <dc:creator>liuhl</dc:creator>
  <cp:lastModifiedBy>guyuan</cp:lastModifiedBy>
  <cp:lastPrinted>2025-04-23T19:21:00Z</cp:lastPrinted>
  <dcterms:modified xsi:type="dcterms:W3CDTF">2025-04-23T11:24:48Z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CF3FD4F1F971C2E72AF00668BF7559EB</vt:lpwstr>
  </property>
</Properties>
</file>