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document.xml" ContentType="application/vnd.openxmlformats-officedocument.wordprocessingml.document.glossary+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5"/>
        <w:pageBreakBefore w:val="0"/>
        <w:widowControl/>
        <w:kinsoku/>
        <w:wordWrap/>
        <w:overflowPunct w:val="0"/>
        <w:topLinePunct w:val="0"/>
        <w:autoSpaceDE w:val="0"/>
        <w:autoSpaceDN w:val="0"/>
        <w:bidi w:val="0"/>
        <w:jc w:val="left"/>
        <w:outlineLvl w:val="9"/>
        <w:rPr>
          <w:rFonts w:ascii="方正公文小标宋" w:eastAsia="方正公文小标宋"/>
          <w:b w:val="0"/>
          <w:sz w:val="84"/>
          <w:szCs w:val="84"/>
          <w:lang w:eastAsia="zh-CN"/>
        </w:rPr>
      </w:pPr>
    </w:p>
    <w:p>
      <w:pPr>
        <w:pStyle w:val="15"/>
        <w:pageBreakBefore w:val="0"/>
        <w:widowControl/>
        <w:kinsoku/>
        <w:wordWrap/>
        <w:overflowPunct w:val="0"/>
        <w:topLinePunct w:val="0"/>
        <w:autoSpaceDE w:val="0"/>
        <w:autoSpaceDN w:val="0"/>
        <w:bidi w:val="0"/>
        <w:jc w:val="left"/>
        <w:outlineLvl w:val="9"/>
        <w:rPr>
          <w:rFonts w:ascii="方正公文小标宋" w:eastAsia="方正公文小标宋"/>
          <w:b w:val="0"/>
          <w:sz w:val="84"/>
          <w:szCs w:val="84"/>
          <w:lang w:eastAsia="zh-CN"/>
        </w:rPr>
      </w:pPr>
    </w:p>
    <w:p>
      <w:pPr>
        <w:pageBreakBefore w:val="0"/>
        <w:widowControl/>
        <w:kinsoku/>
        <w:wordWrap/>
        <w:overflowPunct w:val="0"/>
        <w:topLinePunct w:val="0"/>
        <w:autoSpaceDE w:val="0"/>
        <w:autoSpaceDN w:val="0"/>
        <w:bidi w:val="0"/>
        <w:jc w:val="center"/>
        <w:rPr>
          <w:rFonts w:ascii="方正公文小标宋" w:eastAsia="方正公文小标宋"/>
          <w:sz w:val="84"/>
          <w:szCs w:val="84"/>
          <w:lang w:eastAsia="zh-CN"/>
        </w:rPr>
      </w:pPr>
      <w:r>
        <w:rPr>
          <w:rFonts w:ascii="方正公文小标宋" w:eastAsia="方正公文小标宋"/>
          <w:sz w:val="84"/>
          <w:szCs w:val="84"/>
          <w:lang w:eastAsia="zh-CN"/>
        </w:rPr>
        <w:t>宁夏回族自治区固原</w:t>
      </w:r>
      <w:r>
        <w:rPr>
          <w:rFonts w:ascii="方正公文小标宋" w:eastAsia="方正公文小标宋" w:hint="eastAsia"/>
          <w:sz w:val="84"/>
          <w:szCs w:val="84"/>
          <w:lang w:eastAsia="zh-CN"/>
        </w:rPr>
        <w:t>市</w:t>
      </w:r>
      <w:r>
        <w:rPr>
          <w:rFonts w:ascii="方正公文小标宋" w:eastAsia="方正公文小标宋"/>
          <w:sz w:val="84"/>
          <w:szCs w:val="84"/>
          <w:lang w:eastAsia="zh-CN"/>
        </w:rPr>
        <w:t>泾源</w:t>
      </w:r>
      <w:r>
        <w:rPr>
          <w:rFonts w:ascii="方正公文小标宋" w:eastAsia="方正公文小标宋" w:hint="eastAsia"/>
          <w:sz w:val="84"/>
          <w:szCs w:val="84"/>
          <w:lang w:eastAsia="zh-CN"/>
        </w:rPr>
        <w:t>县</w:t>
      </w:r>
    </w:p>
    <w:p>
      <w:pPr>
        <w:pageBreakBefore w:val="0"/>
        <w:widowControl/>
        <w:kinsoku/>
        <w:wordWrap/>
        <w:overflowPunct w:val="0"/>
        <w:topLinePunct w:val="0"/>
        <w:autoSpaceDE w:val="0"/>
        <w:autoSpaceDN w:val="0"/>
        <w:bidi w:val="0"/>
        <w:jc w:val="center"/>
        <w:rPr>
          <w:rFonts w:ascii="方正公文小标宋" w:eastAsia="方正公文小标宋"/>
          <w:sz w:val="84"/>
          <w:szCs w:val="84"/>
          <w:lang w:eastAsia="zh-CN"/>
        </w:rPr>
      </w:pPr>
      <w:r>
        <w:rPr>
          <w:rFonts w:ascii="方正公文小标宋" w:eastAsia="方正公文小标宋" w:hint="eastAsia"/>
          <w:sz w:val="84"/>
          <w:szCs w:val="84"/>
          <w:lang w:eastAsia="zh-CN"/>
        </w:rPr>
        <w:t>黄花乡履行职责事项清单</w:t>
      </w:r>
    </w:p>
    <w:p>
      <w:pPr>
        <w:pStyle w:val="15"/>
        <w:pageBreakBefore w:val="0"/>
        <w:widowControl/>
        <w:kinsoku/>
        <w:wordWrap/>
        <w:overflowPunct w:val="0"/>
        <w:topLinePunct w:val="0"/>
        <w:autoSpaceDE w:val="0"/>
        <w:autoSpaceDN w:val="0"/>
        <w:bidi w:val="0"/>
        <w:jc w:val="left"/>
        <w:outlineLvl w:val="9"/>
        <w:rPr>
          <w:rFonts w:ascii="方正公文小标宋" w:eastAsia="方正公文小标宋"/>
          <w:b w:val="0"/>
          <w:sz w:val="84"/>
          <w:szCs w:val="84"/>
          <w:lang w:eastAsia="zh-CN"/>
        </w:rPr>
      </w:pPr>
    </w:p>
    <w:p>
      <w:pPr>
        <w:pageBreakBefore w:val="0"/>
        <w:widowControl/>
        <w:kinsoku/>
        <w:wordWrap/>
        <w:overflowPunct w:val="0"/>
        <w:topLinePunct w:val="0"/>
        <w:autoSpaceDE w:val="0"/>
        <w:autoSpaceDN w:val="0"/>
        <w:bidi w:val="0"/>
        <w:rPr>
          <w:rFonts w:ascii="方正公文小标宋" w:eastAsia="方正公文小标宋"/>
          <w:sz w:val="84"/>
          <w:szCs w:val="84"/>
          <w:lang w:eastAsia="zh-CN"/>
        </w:rPr>
      </w:pPr>
    </w:p>
    <w:p>
      <w:pPr>
        <w:pageBreakBefore w:val="0"/>
        <w:widowControl/>
        <w:kinsoku/>
        <w:wordWrap/>
        <w:overflowPunct w:val="0"/>
        <w:topLinePunct w:val="0"/>
        <w:autoSpaceDE/>
        <w:autoSpaceDN/>
        <w:bidi w:val="0"/>
        <w:adjustRightInd/>
        <w:snapToGrid/>
        <w:textAlignment w:val="auto"/>
        <w:rPr>
          <w:rFonts w:eastAsia="等线"/>
          <w:b/>
          <w:sz w:val="32"/>
          <w:lang w:eastAsia="zh-CN"/>
        </w:rPr>
      </w:pPr>
    </w:p>
    <w:p>
      <w:pPr>
        <w:rPr>
          <w:rFonts w:ascii="宋体" w:eastAsia="宋体" w:cs="Arial" w:hAnsi="宋体"/>
          <w:snapToGrid w:val="0"/>
          <w:color w:val="000000"/>
          <w:kern w:val="0"/>
          <w:sz w:val="21"/>
          <w:szCs w:val="21"/>
          <w:lang w:val="en-US" w:bidi="ar-SA"/>
        </w:rPr>
        <w:sectPr>
          <w:pgSz w:w="16837" w:h="11905" w:orient="landscape"/>
          <w:pgMar w:top="1418" w:right="1418" w:bottom="1418" w:left="1418" w:header="851" w:footer="907" w:gutter="0"/>
          <w:pgNumType w:start="1"/>
          <w:cols w:num="1" w:space="720"/>
          <w:docGrid w:linePitch="312" w:charSpace="0"/>
        </w:sectPr>
      </w:pPr>
    </w:p>
    <w:sdt>
      <w:sdtPr>
        <w:rPr>
          <w:rFonts w:ascii="宋体" w:eastAsia="宋体" w:cs="Arial" w:hAnsi="宋体"/>
          <w:snapToGrid w:val="0"/>
          <w:color w:val="000000"/>
          <w:kern w:val="0"/>
          <w:sz w:val="21"/>
          <w:szCs w:val="21"/>
          <w:lang w:val="en-US" w:bidi="ar-SA"/>
        </w:rPr>
        <w:id w:val="-752745871"/>
        <w:docPartObj>
          <w:docPartGallery w:val="Table of Contents"/>
          <w:docPartUnique/>
        </w:docPartObj>
      </w:sdtPr>
      <w:sdtEndPr>
        <w:rPr>
          <w:rFonts w:ascii="Times New Roman" w:cs="Times New Roman" w:hAnsi="Times New Roman"/>
          <w:sz w:val="20"/>
          <w:szCs w:val="20"/>
        </w:rPr>
      </w:sdtEndPr>
      <w:sdtContent>
        <w:bookmarkStart w:id="0" w:name="_Toc1424135948_WPSOffice_Type3" w:displacedByCustomXml="prev"/>
        <w:bookmarkStart w:id="1" w:name="_Toc652783528" w:displacedByCustomXml="prev"/>
        <w:bookmarkStart w:id="2" w:name="_Toc1243713935" w:displacedByCustomXml="prev"/>
        <w:p>
          <w:pPr>
            <w:spacing w:before="0" w:after="0" w:line="240" w:lineRule="auto"/>
            <w:ind w:left="0" w:right="0" w:firstLine="0"/>
            <w:jc w:val="center"/>
            <w:rPr>
              <w:rFonts w:ascii="方正小标宋简体" w:eastAsia="方正小标宋简体" w:cs="方正小标宋简体" w:hAnsi="方正小标宋简体" w:hint="eastAsia"/>
              <w:sz w:val="44"/>
              <w:szCs w:val="44"/>
            </w:rPr>
          </w:pPr>
          <w:r>
            <w:rPr>
              <w:rFonts w:ascii="方正小标宋简体" w:eastAsia="方正小标宋简体" w:cs="方正小标宋简体" w:hAnsi="方正小标宋简体" w:hint="eastAsia"/>
              <w:sz w:val="44"/>
              <w:szCs w:val="44"/>
            </w:rPr>
            <w:t>目</w:t>
          </w:r>
          <w:r>
            <w:rPr>
              <w:rFonts w:ascii="方正小标宋简体" w:eastAsia="方正小标宋简体" w:cs="方正小标宋简体" w:hAnsi="方正小标宋简体" w:hint="eastAsia"/>
              <w:sz w:val="44"/>
              <w:szCs w:val="44"/>
              <w:lang w:val="en-US" w:eastAsia="zh-CN"/>
            </w:rPr>
            <w:t xml:space="preserve">  </w:t>
          </w:r>
          <w:r>
            <w:rPr>
              <w:rFonts w:ascii="方正小标宋简体" w:eastAsia="方正小标宋简体" w:cs="方正小标宋简体" w:hAnsi="方正小标宋简体" w:hint="eastAsia"/>
              <w:sz w:val="44"/>
              <w:szCs w:val="44"/>
            </w:rPr>
            <w:t>录</w:t>
          </w:r>
        </w:p>
        <w:p>
          <w:pPr>
            <w:pStyle w:val="15"/>
          </w:pPr>
        </w:p>
        <w:p>
          <w:pPr>
            <w:pStyle w:val="34"/>
            <w:tabs>
              <w:tab w:val="right" w:leader="dot" w:pos="14001"/>
            </w:tabs>
            <w:rPr>
              <w:sz w:val="32"/>
              <w:szCs w:val="32"/>
            </w:rPr>
          </w:pPr>
          <w:sdt>
            <w:sdtPr>
              <w:rPr>
                <w:rFonts w:ascii="Arial" w:eastAsia="Arial" w:cs="Arial" w:hAnsi="Arial"/>
                <w:b/>
                <w:bCs/>
                <w:snapToGrid w:val="0"/>
                <w:color w:val="000000"/>
                <w:kern w:val="44"/>
                <w:sz w:val="32"/>
                <w:szCs w:val="32"/>
                <w:lang w:val="en-US" w:bidi="ar-SA"/>
              </w:rPr>
              <w:id w:val="1157688639"/>
            </w:sdtPr>
            <w:sdtContent>
              <w:r>
                <w:rPr>
                  <w:rFonts w:ascii="Arial" w:eastAsia="SimSun" w:cs="Arial" w:hAnsi="Arial" w:hint="eastAsia"/>
                  <w:b/>
                  <w:bCs/>
                  <w:snapToGrid w:val="0"/>
                  <w:color w:val="000000"/>
                  <w:kern w:val="44"/>
                  <w:sz w:val="32"/>
                  <w:szCs w:val="32"/>
                  <w:lang w:val="en-US" w:eastAsia="zh-CN" w:bidi="ar-SA"/>
                </w:rPr>
                <w:fldChar w:fldCharType="begin"/>
              </w:r>
              <w:r>
                <w:instrText>HYPERLINK  \l "_Toc1230213544_WPSOffice_Level1"</w:instrText>
              </w:r>
              <w:r>
                <w:rPr>
                  <w:rFonts w:ascii="Arial" w:eastAsia="SimSun" w:cs="Arial" w:hAnsi="Arial" w:hint="eastAsia"/>
                  <w:b/>
                  <w:bCs/>
                  <w:snapToGrid w:val="0"/>
                  <w:color w:val="000000"/>
                  <w:kern w:val="44"/>
                  <w:sz w:val="32"/>
                  <w:szCs w:val="32"/>
                  <w:lang w:val="en-US" w:eastAsia="zh-CN" w:bidi="ar-SA"/>
                </w:rPr>
                <w:fldChar w:fldCharType="separate"/>
              </w:r>
              <w:r>
                <w:rPr>
                  <w:rFonts w:ascii="Arial" w:eastAsia="SimSun" w:cs="Arial" w:hAnsi="Arial" w:hint="eastAsia"/>
                  <w:b/>
                  <w:bCs/>
                  <w:snapToGrid w:val="0"/>
                  <w:color w:val="000000"/>
                  <w:kern w:val="44"/>
                  <w:sz w:val="32"/>
                  <w:szCs w:val="32"/>
                  <w:lang w:val="en-US" w:eastAsia="zh-CN" w:bidi="ar-SA"/>
                </w:rPr>
                <w:t>1.</w:t>
              </w:r>
              <w:r>
                <w:rPr>
                  <w:rFonts w:ascii="Times New Roman" w:eastAsia="方正公文小标宋" w:cs="Times New Roman" w:hAnsi="Times New Roman"/>
                  <w:sz w:val="32"/>
                  <w:szCs w:val="32"/>
                </w:rPr>
                <w:t>基本</w:t>
              </w:r>
              <w:r>
                <w:rPr>
                  <w:rFonts w:ascii="Times New Roman" w:eastAsia="方正公文小标宋" w:cs="Times New Roman" w:hAnsi="Times New Roman" w:hint="eastAsia"/>
                  <w:sz w:val="32"/>
                  <w:szCs w:val="32"/>
                </w:rPr>
                <w:t>履职</w:t>
              </w:r>
              <w:r>
                <w:rPr>
                  <w:rFonts w:ascii="Times New Roman" w:eastAsia="方正公文小标宋" w:cs="Times New Roman" w:hAnsi="Times New Roman"/>
                  <w:sz w:val="32"/>
                  <w:szCs w:val="32"/>
                </w:rPr>
                <w:t>事项清单</w:t>
              </w:r>
            </w:sdtContent>
          </w:sdt>
          <w:r>
            <w:rPr>
              <w:sz w:val="32"/>
              <w:szCs w:val="32"/>
            </w:rPr>
            <w:tab/>
            <w:t>1</w:t>
          </w:r>
          <w:r>
            <w:rPr>
              <w:rFonts w:ascii="Arial" w:eastAsia="SimSun" w:cs="Arial" w:hAnsi="Arial" w:hint="eastAsia"/>
              <w:b/>
              <w:bCs/>
              <w:snapToGrid w:val="0"/>
              <w:color w:val="000000"/>
              <w:kern w:val="44"/>
              <w:sz w:val="32"/>
              <w:szCs w:val="32"/>
              <w:lang w:val="en-US" w:eastAsia="zh-CN" w:bidi="ar-SA"/>
            </w:rPr>
            <w:fldChar w:fldCharType="end"/>
          </w:r>
        </w:p>
        <w:p>
          <w:pPr>
            <w:pStyle w:val="34"/>
            <w:tabs>
              <w:tab w:val="right" w:leader="dot" w:pos="14001"/>
            </w:tabs>
            <w:rPr>
              <w:sz w:val="32"/>
              <w:szCs w:val="32"/>
            </w:rPr>
          </w:pPr>
          <w:sdt>
            <w:sdtPr>
              <w:rPr>
                <w:rFonts w:ascii="Arial" w:eastAsia="Arial" w:cs="Arial" w:hAnsi="Arial"/>
                <w:b/>
                <w:bCs/>
                <w:snapToGrid w:val="0"/>
                <w:color w:val="000000"/>
                <w:kern w:val="44"/>
                <w:sz w:val="32"/>
                <w:szCs w:val="32"/>
                <w:lang w:val="en-US" w:bidi="ar-SA"/>
              </w:rPr>
              <w:id w:val="131210814"/>
            </w:sdtPr>
            <w:sdtContent>
              <w:r>
                <w:rPr>
                  <w:rFonts w:ascii="Arial" w:eastAsia="SimSun" w:cs="Arial" w:hAnsi="Arial" w:hint="eastAsia"/>
                  <w:b/>
                  <w:bCs/>
                  <w:snapToGrid w:val="0"/>
                  <w:color w:val="000000"/>
                  <w:kern w:val="44"/>
                  <w:sz w:val="32"/>
                  <w:szCs w:val="32"/>
                  <w:lang w:val="en-US" w:eastAsia="zh-CN" w:bidi="ar-SA"/>
                </w:rPr>
                <w:fldChar w:fldCharType="begin"/>
              </w:r>
              <w:r>
                <w:instrText>HYPERLINK  \l "_Toc1424135948_WPSOffice_Level1"</w:instrText>
              </w:r>
              <w:r>
                <w:rPr>
                  <w:rFonts w:ascii="Arial" w:eastAsia="SimSun" w:cs="Arial" w:hAnsi="Arial" w:hint="eastAsia"/>
                  <w:b/>
                  <w:bCs/>
                  <w:snapToGrid w:val="0"/>
                  <w:color w:val="000000"/>
                  <w:kern w:val="44"/>
                  <w:sz w:val="32"/>
                  <w:szCs w:val="32"/>
                  <w:lang w:val="en-US" w:eastAsia="zh-CN" w:bidi="ar-SA"/>
                </w:rPr>
                <w:fldChar w:fldCharType="separate"/>
              </w:r>
              <w:r>
                <w:rPr>
                  <w:rFonts w:ascii="Arial" w:eastAsia="SimSun" w:cs="Arial" w:hAnsi="Arial" w:hint="eastAsia"/>
                  <w:b/>
                  <w:bCs/>
                  <w:snapToGrid w:val="0"/>
                  <w:color w:val="000000"/>
                  <w:kern w:val="44"/>
                  <w:sz w:val="32"/>
                  <w:szCs w:val="32"/>
                  <w:lang w:val="en-US" w:eastAsia="zh-CN" w:bidi="ar-SA"/>
                </w:rPr>
                <w:t>2.</w:t>
              </w:r>
              <w:r>
                <w:rPr>
                  <w:rFonts w:ascii="Times New Roman" w:eastAsia="方正公文小标宋" w:cs="Times New Roman" w:hAnsi="Times New Roman"/>
                  <w:sz w:val="32"/>
                  <w:szCs w:val="32"/>
                </w:rPr>
                <w:t>配合</w:t>
              </w:r>
              <w:r>
                <w:rPr>
                  <w:rFonts w:ascii="Times New Roman" w:eastAsia="方正公文小标宋" w:cs="Times New Roman" w:hAnsi="Times New Roman" w:hint="eastAsia"/>
                  <w:sz w:val="32"/>
                  <w:szCs w:val="32"/>
                </w:rPr>
                <w:t>履职事项</w:t>
              </w:r>
              <w:r>
                <w:rPr>
                  <w:rFonts w:ascii="Times New Roman" w:eastAsia="方正公文小标宋" w:cs="Times New Roman" w:hAnsi="Times New Roman"/>
                  <w:sz w:val="32"/>
                  <w:szCs w:val="32"/>
                </w:rPr>
                <w:t>清单</w:t>
              </w:r>
            </w:sdtContent>
          </w:sdt>
          <w:r>
            <w:rPr>
              <w:sz w:val="32"/>
              <w:szCs w:val="32"/>
            </w:rPr>
            <w:tab/>
          </w:r>
          <w:bookmarkStart w:id="3" w:name="_Toc1424135948_WPSOffice_Level1Page"/>
          <w:r>
            <w:rPr>
              <w:sz w:val="32"/>
              <w:szCs w:val="32"/>
            </w:rPr>
            <w:t>1</w:t>
          </w:r>
          <w:bookmarkEnd w:id="3"/>
          <w:r>
            <w:rPr>
              <w:rFonts w:hint="eastAsia"/>
              <w:sz w:val="32"/>
              <w:szCs w:val="32"/>
              <w:lang w:val="en-US" w:eastAsia="zh-CN"/>
            </w:rPr>
            <w:t>4</w:t>
          </w:r>
          <w:r>
            <w:rPr>
              <w:rFonts w:ascii="Arial" w:eastAsia="SimSun" w:cs="Arial" w:hAnsi="Arial" w:hint="eastAsia"/>
              <w:b/>
              <w:bCs/>
              <w:snapToGrid w:val="0"/>
              <w:color w:val="000000"/>
              <w:kern w:val="44"/>
              <w:sz w:val="32"/>
              <w:szCs w:val="32"/>
              <w:lang w:val="en-US" w:eastAsia="zh-CN" w:bidi="ar-SA"/>
            </w:rPr>
            <w:fldChar w:fldCharType="end"/>
          </w:r>
        </w:p>
        <w:p>
          <w:pPr>
            <w:pStyle w:val="34"/>
            <w:tabs>
              <w:tab w:val="right" w:leader="dot" w:pos="14001"/>
            </w:tabs>
          </w:pPr>
          <w:sdt>
            <w:sdtPr>
              <w:rPr>
                <w:rFonts w:ascii="Arial" w:eastAsia="Arial" w:cs="Arial" w:hAnsi="Arial"/>
                <w:b/>
                <w:bCs/>
                <w:snapToGrid w:val="0"/>
                <w:color w:val="000000"/>
                <w:kern w:val="44"/>
                <w:sz w:val="32"/>
                <w:szCs w:val="32"/>
                <w:lang w:val="en-US" w:bidi="ar-SA"/>
              </w:rPr>
              <w:id w:val="1431592139"/>
              <w:placeholder>
                <w:docPart w:val="AE354A03102C4EB698B457F177894522"/>
              </w:placeholder>
            </w:sdtPr>
            <w:sdtContent>
              <w:r>
                <w:rPr>
                  <w:rFonts w:ascii="Arial" w:eastAsia="SimSun" w:cs="Arial" w:hAnsi="Arial" w:hint="eastAsia"/>
                  <w:b/>
                  <w:bCs/>
                  <w:snapToGrid w:val="0"/>
                  <w:color w:val="000000"/>
                  <w:kern w:val="44"/>
                  <w:sz w:val="32"/>
                  <w:szCs w:val="32"/>
                  <w:lang w:val="en-US" w:eastAsia="zh-CN" w:bidi="ar-SA"/>
                </w:rPr>
                <w:fldChar w:fldCharType="begin"/>
              </w:r>
              <w:r>
                <w:instrText>HYPERLINK  \l "_Toc1255498216_WPSOffice_Level1"</w:instrText>
              </w:r>
              <w:r>
                <w:rPr>
                  <w:rFonts w:ascii="Arial" w:eastAsia="SimSun" w:cs="Arial" w:hAnsi="Arial" w:hint="eastAsia"/>
                  <w:b/>
                  <w:bCs/>
                  <w:snapToGrid w:val="0"/>
                  <w:color w:val="000000"/>
                  <w:kern w:val="44"/>
                  <w:sz w:val="32"/>
                  <w:szCs w:val="32"/>
                  <w:lang w:val="en-US" w:eastAsia="zh-CN" w:bidi="ar-SA"/>
                </w:rPr>
                <w:fldChar w:fldCharType="separate"/>
              </w:r>
              <w:r>
                <w:rPr>
                  <w:rFonts w:ascii="Arial" w:eastAsia="SimSun" w:cs="Arial" w:hAnsi="Arial" w:hint="eastAsia"/>
                  <w:b/>
                  <w:bCs/>
                  <w:snapToGrid w:val="0"/>
                  <w:color w:val="000000"/>
                  <w:kern w:val="44"/>
                  <w:sz w:val="32"/>
                  <w:szCs w:val="32"/>
                  <w:lang w:val="en-US" w:eastAsia="zh-CN" w:bidi="ar-SA"/>
                </w:rPr>
                <w:t>3.</w:t>
              </w:r>
              <w:r>
                <w:rPr>
                  <w:rFonts w:ascii="Times New Roman" w:eastAsia="方正公文小标宋" w:cs="Times New Roman" w:hAnsi="Times New Roman" w:hint="eastAsia"/>
                  <w:sz w:val="32"/>
                  <w:szCs w:val="32"/>
                </w:rPr>
                <w:t>上级部门收回事项清单</w:t>
              </w:r>
            </w:sdtContent>
          </w:sdt>
          <w:r>
            <w:rPr>
              <w:sz w:val="32"/>
              <w:szCs w:val="32"/>
            </w:rPr>
            <w:tab/>
          </w:r>
          <w:bookmarkStart w:id="4" w:name="_Toc1255498216_WPSOffice_Level1Page"/>
          <w:r>
            <w:rPr>
              <w:sz w:val="32"/>
              <w:szCs w:val="32"/>
            </w:rPr>
            <w:t>4</w:t>
          </w:r>
          <w:bookmarkEnd w:id="4"/>
          <w:r>
            <w:rPr>
              <w:rFonts w:hint="eastAsia"/>
              <w:sz w:val="32"/>
              <w:szCs w:val="32"/>
              <w:lang w:val="en-US" w:eastAsia="zh-CN"/>
            </w:rPr>
            <w:t>4</w:t>
          </w:r>
          <w:r>
            <w:rPr>
              <w:rFonts w:ascii="Arial" w:eastAsia="SimSun" w:cs="Arial" w:hAnsi="Arial" w:hint="eastAsia"/>
              <w:b/>
              <w:bCs/>
              <w:snapToGrid w:val="0"/>
              <w:color w:val="000000"/>
              <w:kern w:val="44"/>
              <w:sz w:val="32"/>
              <w:szCs w:val="32"/>
              <w:lang w:val="en-US" w:eastAsia="zh-CN" w:bidi="ar-SA"/>
            </w:rPr>
            <w:fldChar w:fldCharType="end"/>
          </w:r>
        </w:p>
      </w:sdtContent>
    </w:sdt>
    <w:p>
      <w:pPr>
        <w:pStyle w:val="1"/>
        <w:keepNext/>
        <w:keepLines/>
        <w:pageBreakBefore w:val="0"/>
        <w:widowControl/>
        <w:kinsoku/>
        <w:wordWrap/>
        <w:overflowPunct w:val="0"/>
        <w:topLinePunct w:val="0"/>
        <w:autoSpaceDE w:val="0"/>
        <w:autoSpaceDN w:val="0"/>
        <w:bidi w:val="0"/>
        <w:spacing w:before="0" w:after="0" w:line="240" w:lineRule="auto"/>
        <w:jc w:val="center"/>
        <w:rPr>
          <w:rFonts w:ascii="Times New Roman" w:eastAsia="方正公文小标宋" w:cs="Times New Roman" w:hAnsi="Times New Roman"/>
          <w:b w:val="0"/>
          <w:lang w:eastAsia="zh-CN"/>
        </w:rPr>
      </w:pPr>
      <w:bookmarkEnd w:id="0"/>
    </w:p>
    <w:p>
      <w:pPr>
        <w:rPr>
          <w:rFonts w:ascii="Times New Roman" w:eastAsia="方正公文小标宋" w:cs="Times New Roman" w:hAnsi="Times New Roman"/>
          <w:b w:val="0"/>
          <w:lang w:eastAsia="zh-CN"/>
        </w:rPr>
      </w:pPr>
    </w:p>
    <w:p>
      <w:pPr>
        <w:pStyle w:val="15"/>
        <w:rPr>
          <w:rFonts w:ascii="Times New Roman" w:eastAsia="方正公文小标宋" w:cs="Times New Roman" w:hAnsi="Times New Roman"/>
          <w:b w:val="0"/>
          <w:lang w:eastAsia="zh-CN"/>
        </w:rPr>
      </w:pPr>
    </w:p>
    <w:p>
      <w:pPr>
        <w:rPr>
          <w:rFonts w:ascii="Times New Roman" w:eastAsia="方正公文小标宋" w:cs="Times New Roman" w:hAnsi="Times New Roman"/>
          <w:b w:val="0"/>
          <w:lang w:eastAsia="zh-CN"/>
        </w:rPr>
      </w:pPr>
    </w:p>
    <w:p>
      <w:pPr>
        <w:pStyle w:val="15"/>
        <w:rPr>
          <w:rFonts w:ascii="Times New Roman" w:eastAsia="方正公文小标宋" w:cs="Times New Roman" w:hAnsi="Times New Roman"/>
          <w:b w:val="0"/>
          <w:lang w:eastAsia="zh-CN"/>
        </w:rPr>
      </w:pPr>
    </w:p>
    <w:p>
      <w:pPr>
        <w:rPr>
          <w:lang w:eastAsia="zh-CN"/>
        </w:rPr>
      </w:pPr>
    </w:p>
    <w:p>
      <w:pPr>
        <w:rPr>
          <w:rFonts w:ascii="Times New Roman" w:eastAsia="方正公文小标宋" w:cs="Times New Roman" w:hAnsi="Times New Roman"/>
          <w:b w:val="0"/>
          <w:lang w:eastAsia="zh-CN"/>
        </w:rPr>
      </w:pPr>
    </w:p>
    <w:p>
      <w:pPr>
        <w:pStyle w:val="15"/>
        <w:rPr>
          <w:rFonts w:ascii="Times New Roman" w:eastAsia="方正公文小标宋" w:cs="Times New Roman" w:hAnsi="Times New Roman"/>
          <w:b w:val="0"/>
          <w:lang w:eastAsia="zh-CN"/>
        </w:rPr>
      </w:pPr>
    </w:p>
    <w:p>
      <w:pPr>
        <w:rPr>
          <w:rFonts w:ascii="Times New Roman" w:eastAsia="方正公文小标宋" w:cs="Times New Roman" w:hAnsi="Times New Roman"/>
          <w:b w:val="0"/>
          <w:lang w:eastAsia="zh-CN"/>
        </w:rPr>
      </w:pPr>
    </w:p>
    <w:p>
      <w:pPr>
        <w:pStyle w:val="15"/>
        <w:rPr>
          <w:rFonts w:ascii="Times New Roman" w:eastAsia="方正公文小标宋" w:cs="Times New Roman" w:hAnsi="Times New Roman"/>
          <w:b w:val="0"/>
          <w:lang w:eastAsia="zh-CN"/>
        </w:rPr>
      </w:pPr>
    </w:p>
    <w:p>
      <w:pPr>
        <w:rPr>
          <w:rFonts w:ascii="Times New Roman" w:eastAsia="方正公文小标宋" w:cs="Times New Roman" w:hAnsi="Times New Roman"/>
          <w:b w:val="0"/>
          <w:lang w:eastAsia="zh-CN"/>
        </w:rPr>
      </w:pPr>
    </w:p>
    <w:p>
      <w:pPr>
        <w:pStyle w:val="15"/>
        <w:rPr>
          <w:rFonts w:ascii="Times New Roman" w:eastAsia="方正公文小标宋" w:cs="Times New Roman" w:hAnsi="Times New Roman"/>
          <w:b w:val="0"/>
          <w:lang w:eastAsia="zh-CN"/>
        </w:rPr>
      </w:pPr>
    </w:p>
    <w:p>
      <w:pPr>
        <w:pStyle w:val="15"/>
        <w:jc w:val="both"/>
        <w:rPr>
          <w:lang w:eastAsia="zh-CN"/>
        </w:rPr>
      </w:pPr>
    </w:p>
    <w:p>
      <w:pPr>
        <w:pStyle w:val="1"/>
        <w:keepNext/>
        <w:keepLines/>
        <w:pageBreakBefore w:val="0"/>
        <w:widowControl/>
        <w:kinsoku/>
        <w:wordWrap/>
        <w:overflowPunct w:val="0"/>
        <w:topLinePunct w:val="0"/>
        <w:autoSpaceDE w:val="0"/>
        <w:autoSpaceDN w:val="0"/>
        <w:bidi w:val="0"/>
        <w:spacing w:before="0" w:after="0" w:line="240" w:lineRule="auto"/>
        <w:jc w:val="center"/>
        <w:rPr>
          <w:rFonts w:ascii="Times New Roman" w:eastAsia="方正公文小标宋" w:cs="Times New Roman" w:hAnsi="Times New Roman"/>
          <w:b w:val="0"/>
          <w:lang w:eastAsia="zh-CN"/>
        </w:rPr>
        <w:sectPr>
          <w:footerReference w:type="default" r:id="rId2"/>
          <w:pgSz w:w="16837" w:h="11905" w:orient="landscape"/>
          <w:pgMar w:top="1418" w:right="1418" w:bottom="1418" w:left="1418" w:header="851" w:footer="907" w:gutter="0"/>
          <w:pgNumType w:start="1"/>
          <w:cols w:num="1" w:space="720"/>
          <w:docGrid w:linePitch="312" w:charSpace="0"/>
        </w:sectPr>
      </w:pPr>
      <w:bookmarkStart w:id="5" w:name="_Toc1230213544_WPSOffice_Level1"/>
    </w:p>
    <w:p>
      <w:pPr>
        <w:pStyle w:val="1"/>
        <w:keepNext/>
        <w:keepLines/>
        <w:pageBreakBefore w:val="0"/>
        <w:widowControl/>
        <w:kinsoku/>
        <w:wordWrap/>
        <w:overflowPunct w:val="0"/>
        <w:topLinePunct w:val="0"/>
        <w:autoSpaceDE w:val="0"/>
        <w:autoSpaceDN w:val="0"/>
        <w:bidi w:val="0"/>
        <w:spacing w:before="0" w:after="0" w:line="240" w:lineRule="auto"/>
        <w:jc w:val="center"/>
        <w:rPr>
          <w:rFonts w:ascii="Times New Roman" w:eastAsia="方正公文小标宋" w:cs="Times New Roman" w:hAnsi="Times New Roman"/>
          <w:b w:val="0"/>
          <w:color w:val="auto"/>
          <w:spacing w:val="7"/>
          <w:lang w:eastAsia="zh-CN"/>
        </w:rPr>
      </w:pPr>
      <w:r>
        <w:rPr>
          <w:rFonts w:ascii="Times New Roman" w:eastAsia="方正公文小标宋" w:cs="Times New Roman" w:hAnsi="Times New Roman"/>
          <w:b w:val="0"/>
          <w:lang w:eastAsia="zh-CN"/>
        </w:rPr>
        <w:t>基本</w:t>
      </w:r>
      <w:r>
        <w:rPr>
          <w:rFonts w:ascii="Times New Roman" w:eastAsia="方正公文小标宋" w:cs="Times New Roman" w:hAnsi="Times New Roman" w:hint="eastAsia"/>
          <w:b w:val="0"/>
          <w:lang w:eastAsia="zh-CN"/>
        </w:rPr>
        <w:t>履职</w:t>
      </w:r>
      <w:r>
        <w:rPr>
          <w:rFonts w:ascii="Times New Roman" w:eastAsia="方正公文小标宋" w:cs="Times New Roman" w:hAnsi="Times New Roman"/>
          <w:b w:val="0"/>
          <w:lang w:eastAsia="zh-CN"/>
        </w:rPr>
        <w:t>事项清单</w:t>
      </w:r>
      <w:bookmarkEnd w:id="1"/>
      <w:bookmarkEnd w:id="2"/>
      <w:bookmarkEnd w:id="5"/>
    </w:p>
    <w:tbl>
      <w:tblPr>
        <w:jc w:val="left"/>
        <w:tblInd w:w="96" w:type="dxa"/>
        <w:tblW w:w="27378"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600" w:firstRow="0" w:lastRow="0" w:firstColumn="0" w:lastColumn="0" w:noHBand="1" w:noVBand="1"/>
      </w:tblPr>
      <w:tblGrid>
        <w:gridCol w:w="712"/>
        <w:gridCol w:w="13333"/>
        <w:gridCol w:w="13333"/>
      </w:tblGrid>
      <w:tr>
        <w:trPr>
          <w:cantSplit/>
          <w:trHeight w:val="658"/>
          <w:tblHeader/>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rPr>
            </w:pPr>
            <w:r>
              <w:rPr>
                <w:rFonts w:ascii="Times New Roman" w:eastAsia="方正公文黑体" w:cs="Times New Roman" w:hAnsi="Times New Roman"/>
              </w:rPr>
              <w:t>序号</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eastAsia="zh-CN"/>
              </w:rPr>
            </w:pPr>
            <w:r>
              <w:rPr>
                <w:rFonts w:ascii="Times New Roman" w:eastAsia="方正公文黑体" w:cs="Times New Roman" w:hAnsi="Times New Roman"/>
                <w:lang w:eastAsia="zh-CN"/>
              </w:rPr>
              <w:t>事项名称</w:t>
            </w:r>
          </w:p>
        </w:tc>
      </w:tr>
      <w:tr>
        <w:trPr>
          <w:cantSplit/>
          <w:trHeight w:val="482"/>
          <w:gridAfter w:val="1"/>
          <w:wAfter w:w="13333" w:type="dxa"/>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textAlignment w:val="center"/>
              <w:rPr>
                <w:rFonts w:ascii="Times New Roman" w:eastAsia="方正公文黑体" w:cs="Times New Roman" w:hAnsi="Times New Roman"/>
                <w:lang w:eastAsia="zh-CN"/>
              </w:rPr>
            </w:pPr>
            <w:r>
              <w:rPr>
                <w:rFonts w:ascii="Times New Roman" w:eastAsia="方正公文黑体" w:cs="Times New Roman" w:hAnsi="Times New Roman"/>
                <w:sz w:val="24"/>
                <w:szCs w:val="24"/>
                <w:lang w:val="en-US" w:eastAsia="zh-CN"/>
              </w:rPr>
              <w:t>一、党的建设（24项）</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eastAsia="zh-CN"/>
              </w:rPr>
            </w:pPr>
            <w:r>
              <w:rPr>
                <w:rFonts w:ascii="Times New Roman" w:eastAsia="方正公文黑体" w:cs="Times New Roman" w:hAnsi="Times New Roman"/>
                <w:lang w:eastAsia="zh-CN"/>
              </w:rPr>
              <w:t>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学习贯彻落实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落实党中央决策部署及上级党委工作要求，讨论和决定乡镇经济建设、政治建设、文化建设、社会建设、生态文明建设和党的建设及乡村振兴中的重大问题，落实全面深化改革涉及的具体任务。</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开展铸牢中华民族共同体意识工作，构筑中华民族共有精神家园，促进各民族交往交流交融，坚决守好民族团结生命线。</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落实党代会代表任期制，做好代表选举及联络服务工作，指导下级党组织开展换届选举。</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依据权限和授权负责本辖区下级党组织的成立、调整和撤销，对下级党组织负责人进行选拔、任命和报备。</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做好发展党员及党员教育、管理、监督、服务工作。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落实基层党组织领导的基层群众自治制度，指导村委会、村监委会规范化建设，加强换届选举的监督和指导，指导村建强人民调解、治安保卫等委员会，推进民主自治。</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按照干部管理权限，负责干部的教育、培训、选拔、考核和监督工作，协助管理上级有关部门派驻单位干部，做好人才服务和引进工作。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10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落实党代会代表任期制，做好代表选举及联络服务工作，指导下级党组织开展换届选举。</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11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落实纪委监督责任，推动</w:t>
            </w:r>
            <w:r>
              <w:rPr>
                <w:rFonts w:ascii="Times New Roman" w:eastAsia="方正公文仿宋" w:cs="Times New Roman" w:hAnsi="Times New Roman" w:hint="eastAsia"/>
                <w:i w:val="0"/>
                <w:snapToGrid w:val="0"/>
                <w:color w:val="000000"/>
                <w:kern w:val="0"/>
                <w:sz w:val="21"/>
                <w:szCs w:val="21"/>
                <w:u w:val="none"/>
                <w:lang w:val="en-US" w:eastAsia="zh-CN"/>
              </w:rPr>
              <w:t>乡村</w:t>
            </w:r>
            <w:r>
              <w:rPr>
                <w:rFonts w:ascii="Times New Roman" w:eastAsia="方正公文仿宋" w:cs="Times New Roman" w:hAnsi="Times New Roman"/>
                <w:i w:val="0"/>
                <w:snapToGrid w:val="0"/>
                <w:color w:val="000000"/>
                <w:kern w:val="0"/>
                <w:sz w:val="21"/>
                <w:szCs w:val="21"/>
                <w:u w:val="none"/>
                <w:lang w:val="en-US" w:eastAsia="zh-CN"/>
              </w:rPr>
              <w:t>两级监督体系建设，做好群众来信、来访、来电及网络举报的受理，按照权限分类处置问题线索，配合上级纪委做好案件监督管理、执纪执法评查等工作。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12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落实意识形态工作责任制和网络安全工作责任制，加强网络阵地建设和管理，引导基层党组织及党员主动参与网上正能量建设，加强对所属信息系统、数据信息的安全防护。</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13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开展社会主义精神文明建设，培育和践行社会主义核心价值观，推进新时代文明实践所（站）建设，承担文明行为促进工作，推进移风易俗，弘扬时代新风。</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14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落实党的社会工作部署，加强新兴领域党的建设，推进党建引领基层治理和基层政权建设，做好凝聚服务群众有关工作。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15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做好志愿者队伍建设和管理，建立健全网格服务管理体系，指导各村开展网格化服务管理工作，引导广大干部群众参与志愿服务。</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16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落实统一战线工作责任，联系和团结民主党派成员、党外知识分子等党外人士。</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17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负责组织本辖区召开乡人民代表大会，按照要求做好人大代表选举工作，组织人大代表开展视察调研，加强人大代表家站建设，强化人大代表履职保障工作，办理和督促办理人大代表议案建议。</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18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开展民主协商，做好政协委员的联络服务工作，承办政协委员提案、建议。</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19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组织开展关心下一代工作，收集本辖区“五老”人员信息，动员“五老”人员参加志愿服务活动，做好辖区离退休干部服务管理工作。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20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加强对工会工作的领导，发挥工会组织在推动产业工人队伍建设改革、维护职工合法权益等方面桥梁纽带作用。</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21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负责共青团的基层组织建设，开展区域化团建、服务青年和少先队工作。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22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负责妇联组织建设，指导各村开展妇女儿童工作，维护妇女儿童合法权益。</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23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落实党管武装政治责任，加强基层武装部阵地规范化建设，开展双拥、国防教育以及潜力统计、民兵整组等国防动员工作，配合做好兵役登记和征兵相关工作。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24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加强红十字会基层组织建设，指导红十字会基层组织开展工作。</w:t>
            </w:r>
          </w:p>
        </w:tc>
      </w:tr>
      <w:tr>
        <w:trPr>
          <w:cantSplit/>
          <w:trHeight w:val="658"/>
          <w:gridAfter w:val="1"/>
          <w:wAfter w:w="13333" w:type="dxa"/>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textAlignment w:val="center"/>
              <w:rPr>
                <w:rFonts w:ascii="Times New Roman" w:eastAsia="方正公文仿宋" w:cs="Times New Roman" w:hAnsi="Times New Roman" w:hint="eastAsia"/>
                <w:color w:val="auto"/>
                <w:lang w:val="en-US" w:eastAsia="zh-CN"/>
              </w:rPr>
            </w:pPr>
            <w:r>
              <w:rPr>
                <w:rFonts w:ascii="Times New Roman" w:eastAsia="方正公文黑体" w:cs="Times New Roman" w:hAnsi="Times New Roman" w:hint="eastAsia"/>
                <w:sz w:val="24"/>
                <w:szCs w:val="24"/>
                <w:lang w:val="en-US" w:eastAsia="zh-CN"/>
              </w:rPr>
              <w:t>二</w:t>
            </w:r>
            <w:r>
              <w:rPr>
                <w:rFonts w:ascii="Times New Roman" w:eastAsia="方正公文黑体" w:cs="Times New Roman" w:hAnsi="Times New Roman"/>
                <w:sz w:val="24"/>
                <w:szCs w:val="24"/>
                <w:lang w:val="en-US" w:eastAsia="zh-CN"/>
              </w:rPr>
              <w:t>、</w:t>
            </w:r>
            <w:r>
              <w:rPr>
                <w:rFonts w:ascii="Times New Roman" w:eastAsia="方正公文黑体" w:cs="Times New Roman" w:hAnsi="Times New Roman" w:hint="eastAsia"/>
                <w:sz w:val="24"/>
                <w:szCs w:val="24"/>
                <w:lang w:val="en-US" w:eastAsia="zh-CN"/>
              </w:rPr>
              <w:t>经济发展</w:t>
            </w:r>
            <w:r>
              <w:rPr>
                <w:rFonts w:ascii="Times New Roman" w:eastAsia="方正公文黑体" w:cs="Times New Roman" w:hAnsi="Times New Roman"/>
                <w:sz w:val="24"/>
                <w:szCs w:val="24"/>
                <w:lang w:val="en-US" w:eastAsia="zh-CN"/>
              </w:rPr>
              <w:t>（</w:t>
            </w:r>
            <w:r>
              <w:rPr>
                <w:rFonts w:ascii="Times New Roman" w:eastAsia="方正公文黑体" w:cs="Times New Roman" w:hAnsi="Times New Roman" w:hint="eastAsia"/>
                <w:sz w:val="24"/>
                <w:szCs w:val="24"/>
                <w:lang w:val="en-US" w:eastAsia="zh-CN"/>
              </w:rPr>
              <w:t>15</w:t>
            </w:r>
            <w:r>
              <w:rPr>
                <w:rFonts w:ascii="Times New Roman" w:eastAsia="方正公文黑体" w:cs="Times New Roman" w:hAnsi="Times New Roman"/>
                <w:sz w:val="24"/>
                <w:szCs w:val="24"/>
                <w:lang w:val="en-US" w:eastAsia="zh-CN"/>
              </w:rPr>
              <w:t>项）</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25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编制并执行经济和社会发展计划，组织做好发展农业和为发展农业服务的各项工作。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26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编制并执行财政预决算，加强和规范乡、村两级财务收支管理。</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27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拟定年度项目计划并组织实施，开展招商引资，做好项目落地、实施的服务保障工作。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28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发展培育新产业、新业态、新模式，拓宽农民就业增收渠道，持续增加农民收入。</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29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加强指导服务，引导和支持农民、返乡入乡人员创业创新。</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30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指导发展农村集体经济，负责村集体经济组织资金、资产、资源的监督管理，监督指导农村集体产权制度改革。</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31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负责财政资金管理及非税收入管理工作。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32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加强政府性债务规范管理，开展债务风险监测和预警。</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33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开展村级公益事业财政奖补项目申报、实施、验收，指导落实长效管护。</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34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负责人口普查、经济普查、农业普查等重大国情国力调查及经济社会发展情况统计调查，开展设施农业、农作物、畜牧业、月度调查失业率、机关事业单位劳动工资等统计工作。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35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负责闽宁协作帮扶工作，开展交流互访、商议帮扶事项和签订帮扶协议，实现优势互补，促进辖区经济社会发展。</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36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依托独特区位优势和资源禀赋，围绕剪纸、刺绣、根雕、泾源黄牛肉等泾源特色产品和非遗文化，发挥产业优势，推动农文旅深度融合。</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37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推动肉牛、菌菇、中药材等产业高质量发展，扩大基地建设和联农带农规模，在品种、质量、市场、销售、品牌等方面做全链条示范。</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38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推进社会信用建设工作，优化营商环境。</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39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打造特色“菌菇小镇”，推动黄花菜、蒲公英茶等“土特产”规模化发展，做好相关涉农企业的服务保障工作，推动产业提质增效，促进群众增收。</w:t>
            </w:r>
          </w:p>
        </w:tc>
      </w:tr>
      <w:tr>
        <w:trPr>
          <w:cantSplit/>
          <w:trHeight w:val="658"/>
          <w:gridAfter w:val="1"/>
          <w:wAfter w:w="13333" w:type="dxa"/>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textAlignment w:val="center"/>
              <w:rPr>
                <w:rFonts w:ascii="Times New Roman" w:eastAsia="方正公文仿宋" w:cs="Times New Roman" w:hAnsi="Times New Roman" w:hint="eastAsia"/>
                <w:color w:val="auto"/>
                <w:lang w:val="en-US" w:eastAsia="zh-CN"/>
              </w:rPr>
            </w:pPr>
            <w:r>
              <w:rPr>
                <w:rFonts w:ascii="Times New Roman" w:eastAsia="方正公文黑体" w:cs="Times New Roman" w:hAnsi="Times New Roman" w:hint="eastAsia"/>
                <w:sz w:val="24"/>
                <w:szCs w:val="24"/>
                <w:lang w:val="en-US" w:eastAsia="zh-CN"/>
              </w:rPr>
              <w:t>三</w:t>
            </w:r>
            <w:r>
              <w:rPr>
                <w:rFonts w:ascii="Times New Roman" w:eastAsia="方正公文黑体" w:cs="Times New Roman" w:hAnsi="Times New Roman"/>
                <w:sz w:val="24"/>
                <w:szCs w:val="24"/>
                <w:lang w:val="en-US" w:eastAsia="zh-CN"/>
              </w:rPr>
              <w:t>、</w:t>
            </w:r>
            <w:r>
              <w:rPr>
                <w:rFonts w:ascii="Times New Roman" w:eastAsia="方正公文黑体" w:cs="Times New Roman" w:hAnsi="Times New Roman" w:hint="eastAsia"/>
                <w:sz w:val="24"/>
                <w:szCs w:val="24"/>
                <w:lang w:val="en-US" w:eastAsia="zh-CN"/>
              </w:rPr>
              <w:t>民生服务</w:t>
            </w:r>
            <w:r>
              <w:rPr>
                <w:rFonts w:ascii="Times New Roman" w:eastAsia="方正公文黑体" w:cs="Times New Roman" w:hAnsi="Times New Roman"/>
                <w:sz w:val="24"/>
                <w:szCs w:val="24"/>
                <w:lang w:val="en-US" w:eastAsia="zh-CN"/>
              </w:rPr>
              <w:t>（</w:t>
            </w:r>
            <w:r>
              <w:rPr>
                <w:rFonts w:ascii="Times New Roman" w:eastAsia="方正公文黑体" w:cs="Times New Roman" w:hAnsi="Times New Roman" w:hint="eastAsia"/>
                <w:sz w:val="24"/>
                <w:szCs w:val="24"/>
                <w:lang w:val="en-US" w:eastAsia="zh-CN"/>
              </w:rPr>
              <w:t>17</w:t>
            </w:r>
            <w:r>
              <w:rPr>
                <w:rFonts w:ascii="Times New Roman" w:eastAsia="方正公文黑体" w:cs="Times New Roman" w:hAnsi="Times New Roman"/>
                <w:sz w:val="24"/>
                <w:szCs w:val="24"/>
                <w:lang w:val="en-US" w:eastAsia="zh-CN"/>
              </w:rPr>
              <w:t>项）</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40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统筹辖区审批服务力量和资源，加强便民服务中心和村综合服务站点建设，依法依规开展审批服务和帮办代办工作，实行“一站式服务”、“一门式办理”。</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41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负责科协基层组织建设，联系和服务科技工作者，实施全民科学素质行动，做好科学技术普及、科技志愿服务等工作。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42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开展义务教育、家庭教育宣传，依法做好义务教育控辍保学、家校社协同育人工作。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43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依据权限负责低保家庭、低保边缘家庭、特困人员、临时救助、因病致贫、重病患者等困难群体认定的申请受理、调查核实、审核审批等工作。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44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45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负责养老服务补贴、护理补贴、高龄津贴申请受理、审核及上报工作，建立好独居、空巢、失能、重残特殊家庭老年人台账，指导各村做好日间照料中心、老年活动室、老年饭桌、适老化改造、探访关爱服务等保障老年人权益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46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做好农村公益性墓地设置相关工作，加强农村殡葬服务工作。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47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落实食品安全工作责任，加强食品安全宣传教育，督促指导辖区执法力量依法履行工作职责。</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48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加强残联基层组织建设，开展残疾人证申办、残疾人教育就业、社会保障、文化体育、残疾预防和康复等工作，维护残疾人合法权益。</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49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 xml:space="preserve">加强退役军人服务站规范化建设，做好退役军人就业创业扶持、优抚帮扶、走访慰问、权益维护等服务保障工作。 </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50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组织开展就业创业培训宣传，开展就业失业登记、就业困难人员认定、就业援助、创业扶持工作，承担相关补贴申请的受理、初审工作。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51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做好城乡居民基本养老保险、灵活就业人员养老保险的信息采集、参保登记、待遇领取认证和社会保障卡申领使用等相关工作。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52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做好城乡居民基本医疗保险参保登记、终止（暂停）、恢复、信息变更、征缴宣传等工作，做好城乡居民基本医疗保险跨省异地就医备案工作。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53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开展生育政策宣传和权益保护工作，落实优生优育、生育补贴和提高出生人口素质的政策措施，负责本辖区流动人口管理服务工作。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54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负责公共租赁住房保障申请的初审，受理城镇家庭住房救助申请。</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55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负责劳务管理服务工作，提高社会化服务水平，深化与劳务中介机构（劳务经纪人）的合作，加大劳务输出工作力度，深度挖掘本乡“挖树工”“装修工”“机械工”“泥瓦匠”等工种，组织开展针对性技能培训，做好就业服务保障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color w:val="auto"/>
                <w:lang w:val="en-US" w:eastAsia="zh-CN"/>
              </w:rPr>
              <w:t>56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加强对沿川子服务区的监督服务管理，组织相关部门对车辆停靠、餐饮服务、加油加气站、充电桩、基础设施进行安全检查，督促提升服务水平。</w:t>
            </w:r>
          </w:p>
        </w:tc>
      </w:tr>
      <w:tr>
        <w:trPr>
          <w:cantSplit/>
          <w:trHeight w:val="658"/>
          <w:gridAfter w:val="1"/>
          <w:wAfter w:w="13333" w:type="dxa"/>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textAlignment w:val="center"/>
              <w:rPr>
                <w:rFonts w:ascii="Times New Roman" w:eastAsia="方正公文仿宋" w:cs="Times New Roman" w:hAnsi="Times New Roman"/>
                <w:color w:val="auto"/>
                <w:lang w:val="en-US" w:eastAsia="zh-CN"/>
              </w:rPr>
            </w:pPr>
            <w:r>
              <w:rPr>
                <w:rFonts w:ascii="Times New Roman" w:eastAsia="方正公文黑体" w:cs="Times New Roman" w:hAnsi="Times New Roman" w:hint="eastAsia"/>
                <w:sz w:val="24"/>
                <w:szCs w:val="24"/>
                <w:lang w:val="en-US" w:eastAsia="zh-CN"/>
              </w:rPr>
              <w:t>四</w:t>
            </w:r>
            <w:r>
              <w:rPr>
                <w:rFonts w:ascii="Times New Roman" w:eastAsia="方正公文黑体" w:cs="Times New Roman" w:hAnsi="Times New Roman"/>
                <w:sz w:val="24"/>
                <w:szCs w:val="24"/>
                <w:lang w:val="en-US" w:eastAsia="zh-CN"/>
              </w:rPr>
              <w:t>、</w:t>
            </w:r>
            <w:r>
              <w:rPr>
                <w:rFonts w:ascii="Times New Roman" w:eastAsia="方正公文黑体" w:cs="Times New Roman" w:hAnsi="Times New Roman" w:hint="eastAsia"/>
                <w:sz w:val="24"/>
                <w:szCs w:val="24"/>
                <w:lang w:val="en-US" w:eastAsia="zh-CN"/>
              </w:rPr>
              <w:t>平安法治</w:t>
            </w:r>
            <w:r>
              <w:rPr>
                <w:rFonts w:ascii="Times New Roman" w:eastAsia="方正公文黑体" w:cs="Times New Roman" w:hAnsi="Times New Roman"/>
                <w:sz w:val="24"/>
                <w:szCs w:val="24"/>
                <w:lang w:val="en-US" w:eastAsia="zh-CN"/>
              </w:rPr>
              <w:t>（</w:t>
            </w:r>
            <w:r>
              <w:rPr>
                <w:rFonts w:ascii="Times New Roman" w:eastAsia="方正公文黑体" w:cs="Times New Roman" w:hAnsi="Times New Roman" w:hint="eastAsia"/>
                <w:sz w:val="24"/>
                <w:szCs w:val="24"/>
                <w:lang w:val="en-US" w:eastAsia="zh-CN"/>
              </w:rPr>
              <w:t>14</w:t>
            </w:r>
            <w:r>
              <w:rPr>
                <w:rFonts w:ascii="Times New Roman" w:eastAsia="方正公文黑体" w:cs="Times New Roman" w:hAnsi="Times New Roman"/>
                <w:sz w:val="24"/>
                <w:szCs w:val="24"/>
                <w:lang w:val="en-US" w:eastAsia="zh-CN"/>
              </w:rPr>
              <w:t>项）</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57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加强法治建设，推进依法行政，开展行政诉讼应诉工作。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58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开展基层综合行政执法，加强执法队伍和执法能力建设，落实行政执法“三项制度”，推进行政执法“综合查一次”。</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59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加强全民普法宣教服务，实施乡村“法律明白人”培养工程，推进基层法治文化建设，开展公共法律服务。</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60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贯彻落实总体国家安全观，开展维护国家安全的教育、动员和组织工作。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61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加强社会治安综合治理，开展社会涉稳风险研判、风险预警等工作，完善群防群治队伍，防范化解社会稳定风险。</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62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常态化开展扫黑除恶宣传教育和线索摸排工作。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63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落实“塞上枫桥”基层法治工作机制“1+1+3”固原实践和“4+N”乡村一体下沉联合化解工作机制，做好矛盾纠纷防范、排查、化解和回访工作，及时管控处置危及政治安全和社会稳定的突发事件。</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64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依法成立乡人民调解委员会，统筹派出所、司法所、人民法庭等力量，做好人民调解工作。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65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加强治安保卫委员会的指导和监督，组织民兵、退役军人等参与维护社会治安。</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66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强完善信访联席工作会议机制，受理、办理信访人提出的信访事项，做好职权范围内信访人员疏导教育、帮扶救助、属地稳控等工作，建立健全信访应急预案，联动协同处置突发事件，督导各村履行信访维稳职责，常态化开展人民建议征集。</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67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开展禁毒宣传教育，牵头组织社会面吸毒人员风险评估，做好社区戒毒、社区康复工作，处置非法种植毒品原植物。</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hint="eastAsia"/>
                <w:lang w:val="en-US" w:eastAsia="zh-CN"/>
              </w:rPr>
              <w:t>68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开展反邪教宣传教育和涉邪教人员的教育转化工作。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hint="eastAsia"/>
                <w:lang w:val="en-US" w:eastAsia="zh-CN"/>
              </w:rPr>
              <w:t>69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开展反电信网络诈骗宣传教育和风险防控工作。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hint="eastAsia"/>
                <w:lang w:val="en-US" w:eastAsia="zh-CN"/>
              </w:rPr>
              <w:t>70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强化边境管理，加强与甘肃省平凉市崆峒区崆峒镇在社会治安、联防联控等方面的配合协作，促进相邻接壤区域共同发展。</w:t>
            </w:r>
          </w:p>
        </w:tc>
      </w:tr>
      <w:tr>
        <w:trPr>
          <w:cantSplit/>
          <w:trHeight w:val="658"/>
          <w:gridAfter w:val="1"/>
          <w:wAfter w:w="13333" w:type="dxa"/>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jc w:val="left"/>
              <w:textAlignment w:val="center"/>
              <w:rPr>
                <w:rFonts w:ascii="方正仿宋_GBK" w:eastAsia="方正仿宋_GBK" w:cs="方正仿宋_GBK" w:hAnsi="方正仿宋_GBK" w:hint="eastAsia"/>
                <w:b/>
                <w:i w:val="0"/>
                <w:snapToGrid w:val="0"/>
                <w:color w:val="000000"/>
                <w:kern w:val="0"/>
                <w:sz w:val="32"/>
                <w:szCs w:val="32"/>
                <w:u w:val="none"/>
                <w:lang w:val="en-US" w:eastAsia="zh-CN"/>
              </w:rPr>
            </w:pPr>
            <w:r>
              <w:rPr>
                <w:rFonts w:ascii="Times New Roman" w:eastAsia="方正公文黑体" w:cs="Times New Roman" w:hAnsi="Times New Roman" w:hint="eastAsia"/>
                <w:sz w:val="24"/>
                <w:szCs w:val="24"/>
                <w:lang w:val="en-US" w:eastAsia="zh-CN"/>
              </w:rPr>
              <w:t>五、民族宗教</w:t>
            </w:r>
            <w:r>
              <w:rPr>
                <w:rFonts w:ascii="Times New Roman" w:eastAsia="方正公文黑体" w:cs="Times New Roman" w:hAnsi="Times New Roman"/>
                <w:sz w:val="24"/>
                <w:szCs w:val="24"/>
                <w:lang w:val="en-US" w:eastAsia="zh-CN"/>
              </w:rPr>
              <w:t>（</w:t>
            </w:r>
            <w:r>
              <w:rPr>
                <w:rFonts w:ascii="Times New Roman" w:eastAsia="方正公文黑体" w:cs="Times New Roman" w:hAnsi="Times New Roman" w:hint="eastAsia"/>
                <w:sz w:val="24"/>
                <w:szCs w:val="24"/>
                <w:lang w:val="en-US" w:eastAsia="zh-CN"/>
              </w:rPr>
              <w:t>8</w:t>
            </w:r>
            <w:r>
              <w:rPr>
                <w:rFonts w:ascii="Times New Roman" w:eastAsia="方正公文黑体" w:cs="Times New Roman" w:hAnsi="Times New Roman"/>
                <w:sz w:val="24"/>
                <w:szCs w:val="24"/>
                <w:lang w:val="en-US" w:eastAsia="zh-CN"/>
              </w:rPr>
              <w:t>项）</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7</w:t>
            </w:r>
            <w:r>
              <w:rPr>
                <w:rFonts w:ascii="Times New Roman" w:eastAsia="方正公文黑体" w:cs="Times New Roman" w:hAnsi="Times New Roman" w:hint="eastAsia"/>
                <w:lang w:val="en-US" w:eastAsia="zh-CN"/>
              </w:rPr>
              <w:t>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7</w:t>
            </w:r>
            <w:r>
              <w:rPr>
                <w:rFonts w:ascii="Times New Roman" w:eastAsia="方正公文黑体" w:cs="Times New Roman" w:hAnsi="Times New Roman" w:hint="eastAsia"/>
                <w:lang w:val="en-US" w:eastAsia="zh-CN"/>
              </w:rPr>
              <w:t>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用好区域特色文化和旅游资源禀赋，讲好红色故事、团结故事、发展故事，构建中华民族共有精神家园。</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7</w:t>
            </w:r>
            <w:r>
              <w:rPr>
                <w:rFonts w:ascii="Times New Roman" w:eastAsia="方正公文黑体" w:cs="Times New Roman" w:hAnsi="Times New Roman" w:hint="eastAsia"/>
                <w:lang w:val="en-US" w:eastAsia="zh-CN"/>
              </w:rPr>
              <w:t>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巩固和发展平等团结互助和谐的社会主义民族关系，依法治理民族事务，妥善处理涉及民族因素的矛盾纠纷，保障各民族合法权益，保障少数民族保持或者改革自己的风俗习惯的自由。</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7</w:t>
            </w:r>
            <w:r>
              <w:rPr>
                <w:rFonts w:ascii="Times New Roman" w:eastAsia="方正公文黑体" w:cs="Times New Roman" w:hAnsi="Times New Roman" w:hint="eastAsia"/>
                <w:lang w:val="en-US" w:eastAsia="zh-CN"/>
              </w:rPr>
              <w:t>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学习宣传贯彻党的宗教工作理论和方针政策以及法律、法规、规章，化解处置宗教领域矛盾纠纷。</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7</w:t>
            </w:r>
            <w:r>
              <w:rPr>
                <w:rFonts w:ascii="Times New Roman" w:eastAsia="方正公文黑体" w:cs="Times New Roman" w:hAnsi="Times New Roman" w:hint="eastAsia"/>
                <w:lang w:val="en-US" w:eastAsia="zh-CN"/>
              </w:rPr>
              <w:t>5</w:t>
            </w:r>
          </w:p>
        </w:tc>
        <w:tc>
          <w:tcPr>
            <w:tcW w:w="13333" w:type="dxa"/>
            <w:tcBorders>
              <w:top w:val="single" w:sz="4" w:space="0" w:color="000000"/>
              <w:left w:val="single" w:sz="4" w:space="0" w:color="000000"/>
              <w:bottom w:val="single" w:sz="4" w:space="0" w:color="auto"/>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加强基层宗教工作，建立健全宗教网络体系和乡村两级责任制。</w:t>
            </w:r>
          </w:p>
        </w:tc>
      </w:tr>
      <w:tr>
        <w:trPr>
          <w:cantSplit/>
          <w:trHeight w:val="658"/>
        </w:trPr>
        <w:tc>
          <w:tcPr>
            <w:tcW w:w="712" w:type="dxa"/>
            <w:tcBorders>
              <w:top w:val="single" w:sz="4" w:space="0" w:color="000000"/>
              <w:left w:val="single" w:sz="4" w:space="0" w:color="000000"/>
              <w:bottom w:val="single" w:sz="4" w:space="0" w:color="000000"/>
              <w:right w:val="single" w:sz="4" w:space="0" w:color="auto"/>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7</w:t>
            </w:r>
            <w:r>
              <w:rPr>
                <w:rFonts w:ascii="Times New Roman" w:eastAsia="方正公文黑体" w:cs="Times New Roman" w:hAnsi="Times New Roman" w:hint="eastAsia"/>
                <w:lang w:val="en-US" w:eastAsia="zh-CN"/>
              </w:rPr>
              <w:t>6</w:t>
            </w:r>
          </w:p>
        </w:tc>
        <w:tc>
          <w:tcPr>
            <w:tcW w:w="1333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指导宗教活动场所管理组织的成立、换届和成员调整，加强宗教教职人员的日常管理。</w:t>
            </w:r>
          </w:p>
        </w:tc>
        <w:tc>
          <w:tcPr>
            <w:tcW w:w="13333" w:type="dxa"/>
            <w:tcBorders>
              <w:top w:val="nil"/>
              <w:left w:val="single" w:sz="4" w:space="0" w:color="auto"/>
              <w:bottom w:val="nil"/>
              <w:right w:val="nil"/>
            </w:tcBorders>
            <w:shd w:val="clear" w:color="auto" w:fill="auto"/>
            <w:vAlign w:val="center"/>
          </w:tcPr>
          <w:p>
            <w:pPr>
              <w:pageBreakBefore w:val="0"/>
              <w:widowControl/>
              <w:kinsoku/>
              <w:wordWrap/>
              <w:overflowPunct w:val="0"/>
              <w:topLinePunct w:val="0"/>
              <w:autoSpaceDE w:val="0"/>
              <w:autoSpaceDN w:val="0"/>
              <w:bidi w:val="0"/>
              <w:textAlignment w:val="center"/>
              <w:rPr>
                <w:rFonts w:ascii="Times New Roman" w:eastAsia="方正公文仿宋" w:cs="Times New Roman" w:hAnsi="Times New Roman"/>
                <w:snapToGrid w:val="0"/>
                <w:color w:val="000000"/>
                <w:kern w:val="0"/>
                <w:sz w:val="21"/>
                <w:szCs w:val="21"/>
                <w:lang w:val="en-US" w:eastAsia="zh-CN"/>
              </w:rPr>
            </w:pPr>
          </w:p>
        </w:tc>
      </w:tr>
      <w:tr>
        <w:trPr>
          <w:cantSplit/>
          <w:trHeight w:val="658"/>
        </w:trPr>
        <w:tc>
          <w:tcPr>
            <w:tcW w:w="712" w:type="dxa"/>
            <w:tcBorders>
              <w:top w:val="single" w:sz="4" w:space="0" w:color="000000"/>
              <w:left w:val="single" w:sz="4" w:space="0" w:color="000000"/>
              <w:bottom w:val="single" w:sz="4" w:space="0" w:color="000000"/>
              <w:right w:val="single" w:sz="4" w:space="0" w:color="auto"/>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7</w:t>
            </w:r>
            <w:r>
              <w:rPr>
                <w:rFonts w:ascii="Times New Roman" w:eastAsia="方正公文黑体" w:cs="Times New Roman" w:hAnsi="Times New Roman" w:hint="eastAsia"/>
                <w:lang w:val="en-US" w:eastAsia="zh-CN"/>
              </w:rPr>
              <w:t>7</w:t>
            </w:r>
          </w:p>
        </w:tc>
        <w:tc>
          <w:tcPr>
            <w:tcW w:w="1333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加强宗教活动场所日常管理，开展日常安全检查，指导宗教活动场所管理组织依法办理土地、规划、建设、消防等手续。</w:t>
            </w:r>
          </w:p>
        </w:tc>
        <w:tc>
          <w:tcPr>
            <w:tcW w:w="13333" w:type="dxa"/>
            <w:tcBorders>
              <w:top w:val="nil"/>
              <w:left w:val="single" w:sz="4" w:space="0" w:color="auto"/>
              <w:bottom w:val="nil"/>
              <w:right w:val="single" w:sz="4" w:space="0" w:color="000000"/>
            </w:tcBorders>
            <w:shd w:val="clear" w:color="auto" w:fill="auto"/>
            <w:vAlign w:val="center"/>
          </w:tcPr>
          <w:p>
            <w:pPr>
              <w:pageBreakBefore w:val="0"/>
              <w:widowControl/>
              <w:kinsoku/>
              <w:wordWrap/>
              <w:overflowPunct w:val="0"/>
              <w:topLinePunct w:val="0"/>
              <w:autoSpaceDE w:val="0"/>
              <w:autoSpaceDN w:val="0"/>
              <w:bidi w:val="0"/>
              <w:textAlignment w:val="center"/>
              <w:rPr>
                <w:rFonts w:ascii="Times New Roman" w:eastAsia="方正公文仿宋" w:cs="Times New Roman" w:hAnsi="Times New Roman"/>
                <w:snapToGrid w:val="0"/>
                <w:color w:val="000000"/>
                <w:kern w:val="0"/>
                <w:sz w:val="21"/>
                <w:szCs w:val="21"/>
                <w:lang w:val="en-US" w:eastAsia="zh-CN"/>
              </w:rPr>
            </w:pP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7</w:t>
            </w:r>
            <w:r>
              <w:rPr>
                <w:rFonts w:ascii="Times New Roman" w:eastAsia="方正公文黑体" w:cs="Times New Roman" w:hAnsi="Times New Roman" w:hint="eastAsia"/>
                <w:lang w:val="en-US" w:eastAsia="zh-CN"/>
              </w:rPr>
              <w:t>8</w:t>
            </w:r>
          </w:p>
        </w:tc>
        <w:tc>
          <w:tcPr>
            <w:tcW w:w="13333" w:type="dxa"/>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加强宗教活动管理，做好活动期间秩序维护等工作，及时报告并协助有关部门查处非法宗教活动。</w:t>
            </w:r>
          </w:p>
        </w:tc>
      </w:tr>
      <w:tr>
        <w:trPr>
          <w:cantSplit/>
          <w:trHeight w:val="658"/>
          <w:gridAfter w:val="1"/>
          <w:wAfter w:w="13333" w:type="dxa"/>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jc w:val="left"/>
              <w:textAlignment w:val="center"/>
              <w:rPr>
                <w:rFonts w:ascii="方正仿宋_GBK" w:eastAsia="方正仿宋_GBK" w:cs="方正仿宋_GBK" w:hAnsi="方正仿宋_GBK" w:hint="eastAsia"/>
                <w:i w:val="0"/>
                <w:snapToGrid w:val="0"/>
                <w:color w:val="000000"/>
                <w:kern w:val="0"/>
                <w:sz w:val="32"/>
                <w:szCs w:val="32"/>
                <w:u w:val="none"/>
                <w:lang w:val="en-US" w:eastAsia="zh-CN"/>
              </w:rPr>
            </w:pPr>
            <w:r>
              <w:rPr>
                <w:rFonts w:ascii="Times New Roman" w:eastAsia="方正公文黑体" w:cs="Times New Roman" w:hAnsi="Times New Roman" w:hint="eastAsia"/>
                <w:sz w:val="24"/>
                <w:szCs w:val="24"/>
                <w:lang w:val="en-US" w:eastAsia="zh-CN"/>
              </w:rPr>
              <w:t>六、乡村振兴</w:t>
            </w:r>
            <w:r>
              <w:rPr>
                <w:rFonts w:ascii="Times New Roman" w:eastAsia="方正公文黑体" w:cs="Times New Roman" w:hAnsi="Times New Roman"/>
                <w:sz w:val="24"/>
                <w:szCs w:val="24"/>
                <w:lang w:val="en-US" w:eastAsia="zh-CN"/>
              </w:rPr>
              <w:t>（</w:t>
            </w:r>
            <w:r>
              <w:rPr>
                <w:rFonts w:ascii="Times New Roman" w:eastAsia="方正公文黑体" w:cs="Times New Roman" w:hAnsi="Times New Roman" w:hint="eastAsia"/>
                <w:sz w:val="24"/>
                <w:szCs w:val="24"/>
                <w:lang w:val="en-US" w:eastAsia="zh-CN"/>
              </w:rPr>
              <w:t>8</w:t>
            </w:r>
            <w:r>
              <w:rPr>
                <w:rFonts w:ascii="Times New Roman" w:eastAsia="方正公文黑体" w:cs="Times New Roman" w:hAnsi="Times New Roman"/>
                <w:sz w:val="24"/>
                <w:szCs w:val="24"/>
                <w:lang w:val="en-US" w:eastAsia="zh-CN"/>
              </w:rPr>
              <w:t>项）</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hint="eastAsia"/>
                <w:lang w:val="en-US" w:eastAsia="zh-CN"/>
              </w:rPr>
              <w:t>79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培育现代乡村产业，指导、扶持和服务农民专业合作社、家庭农场等新型经营主体发展，做好“土特产”文章，发展乡村种养业、加工流通业、休闲旅游业、乡村服务业。</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8</w:t>
            </w:r>
            <w:r>
              <w:rPr>
                <w:rFonts w:ascii="Times New Roman" w:eastAsia="方正公文黑体" w:cs="Times New Roman" w:hAnsi="Times New Roman" w:hint="eastAsia"/>
                <w:lang w:val="en-US" w:eastAsia="zh-CN"/>
              </w:rPr>
              <w:t>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落实粮食安全生产责任制，稳定粮食播种面积，完成粮食和重要农产品生产任务，核定上报耕地地力保护补贴、种粮农民一次性补贴。</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8</w:t>
            </w:r>
            <w:r>
              <w:rPr>
                <w:rFonts w:ascii="Times New Roman" w:eastAsia="方正公文黑体" w:cs="Times New Roman" w:hAnsi="Times New Roman" w:hint="eastAsia"/>
                <w:lang w:val="en-US" w:eastAsia="zh-CN"/>
              </w:rPr>
              <w:t>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负责农村土地承包经营及土地承包经营合同管理，依法开展农村土地经营权流转工作，调解和处理土地承包经营和土地经营权流转纠纷。</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8</w:t>
            </w:r>
            <w:r>
              <w:rPr>
                <w:rFonts w:ascii="Times New Roman" w:eastAsia="方正公文黑体" w:cs="Times New Roman" w:hAnsi="Times New Roman" w:hint="eastAsia"/>
                <w:lang w:val="en-US" w:eastAsia="zh-CN"/>
              </w:rPr>
              <w:t>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做好设施农业用地备案管理和设施农业项目监管工作。</w:t>
            </w:r>
          </w:p>
        </w:tc>
      </w:tr>
      <w:tr>
        <w:trPr>
          <w:cantSplit/>
          <w:trHeight w:val="633"/>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8</w:t>
            </w:r>
            <w:r>
              <w:rPr>
                <w:rFonts w:ascii="Times New Roman" w:eastAsia="方正公文黑体" w:cs="Times New Roman" w:hAnsi="Times New Roman" w:hint="eastAsia"/>
                <w:lang w:val="en-US" w:eastAsia="zh-CN"/>
              </w:rPr>
              <w:t>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组织实施农田水利基础建设，开展已移交乡村的水利基础设施巡查、管护工作。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8</w:t>
            </w:r>
            <w:r>
              <w:rPr>
                <w:rFonts w:ascii="Times New Roman" w:eastAsia="方正公文黑体" w:cs="Times New Roman" w:hAnsi="Times New Roman" w:hint="eastAsia"/>
                <w:lang w:val="en-US" w:eastAsia="zh-CN"/>
              </w:rPr>
              <w:t>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开展农业技术宣传、推广、培训工作，推进农药化肥减量增效和病虫害绿色防控，做好农业领域防灾减灾相关工作。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8</w:t>
            </w:r>
            <w:r>
              <w:rPr>
                <w:rFonts w:ascii="Times New Roman" w:eastAsia="方正公文黑体" w:cs="Times New Roman" w:hAnsi="Times New Roman" w:hint="eastAsia"/>
                <w:lang w:val="en-US" w:eastAsia="zh-CN"/>
              </w:rPr>
              <w:t>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巩固拓展脱贫攻坚成果同乡村振兴有效衔接，开展易返贫致贫人口动态监测预警，对符合条件的纳入监测对象并制定落实帮扶措施，做好帮扶项目资产的监督管理等相关工作。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lang w:val="en-US" w:eastAsia="zh-CN"/>
              </w:rPr>
            </w:pPr>
            <w:r>
              <w:rPr>
                <w:rFonts w:ascii="Times New Roman" w:eastAsia="方正公文黑体" w:cs="Times New Roman" w:hAnsi="Times New Roman"/>
                <w:lang w:val="en-US" w:eastAsia="zh-CN"/>
              </w:rPr>
              <w:t>8</w:t>
            </w:r>
            <w:r>
              <w:rPr>
                <w:rFonts w:ascii="Times New Roman" w:eastAsia="方正公文黑体" w:cs="Times New Roman" w:hAnsi="Times New Roman" w:hint="eastAsia"/>
                <w:lang w:val="en-US" w:eastAsia="zh-CN"/>
              </w:rPr>
              <w:t>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开展农村人居环境整治和长效管理工作，综合整治农村水系、因地制宜推广卫生厕所和简便易行的垃圾分类，治理农村垃圾和污水，加强乡村无障碍设施建设，持续改善农村人居环境。</w:t>
            </w:r>
          </w:p>
        </w:tc>
      </w:tr>
      <w:tr>
        <w:trPr>
          <w:cantSplit/>
          <w:trHeight w:val="658"/>
          <w:gridAfter w:val="1"/>
          <w:wAfter w:w="13333" w:type="dxa"/>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jc w:val="left"/>
              <w:textAlignment w:val="center"/>
              <w:rPr>
                <w:rFonts w:ascii="方正仿宋_GBK" w:eastAsia="方正仿宋_GBK" w:cs="方正仿宋_GBK" w:hAnsi="方正仿宋_GBK" w:hint="eastAsia"/>
                <w:i w:val="0"/>
                <w:snapToGrid w:val="0"/>
                <w:color w:val="000000"/>
                <w:kern w:val="0"/>
                <w:sz w:val="32"/>
                <w:szCs w:val="32"/>
                <w:u w:val="none"/>
                <w:lang w:val="en-US" w:eastAsia="zh-CN"/>
              </w:rPr>
            </w:pPr>
            <w:r>
              <w:rPr>
                <w:rFonts w:ascii="Times New Roman" w:eastAsia="方正公文黑体" w:cs="Times New Roman" w:hAnsi="Times New Roman" w:hint="eastAsia"/>
                <w:sz w:val="24"/>
                <w:szCs w:val="24"/>
                <w:lang w:val="en-US" w:eastAsia="zh-CN"/>
              </w:rPr>
              <w:t>七、自然资源</w:t>
            </w:r>
            <w:r>
              <w:rPr>
                <w:rFonts w:ascii="Times New Roman" w:eastAsia="方正公文黑体" w:cs="Times New Roman" w:hAnsi="Times New Roman"/>
                <w:sz w:val="24"/>
                <w:szCs w:val="24"/>
                <w:lang w:val="en-US" w:eastAsia="zh-CN"/>
              </w:rPr>
              <w:t>（</w:t>
            </w:r>
            <w:r>
              <w:rPr>
                <w:rFonts w:ascii="Times New Roman" w:eastAsia="方正公文黑体" w:cs="Times New Roman" w:hAnsi="Times New Roman" w:hint="eastAsia"/>
                <w:sz w:val="24"/>
                <w:szCs w:val="24"/>
                <w:lang w:val="en-US" w:eastAsia="zh-CN"/>
              </w:rPr>
              <w:t>9</w:t>
            </w:r>
            <w:r>
              <w:rPr>
                <w:rFonts w:ascii="Times New Roman" w:eastAsia="方正公文黑体" w:cs="Times New Roman" w:hAnsi="Times New Roman"/>
                <w:sz w:val="24"/>
                <w:szCs w:val="24"/>
                <w:lang w:val="en-US" w:eastAsia="zh-CN"/>
              </w:rPr>
              <w:t>项）</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20"/>
              <w:numPr>
                <w:ilvl w:val="0"/>
                <w:numId w:val="0"/>
              </w:numPr>
              <w:bidi w:val="0"/>
              <w:jc w:val="center"/>
              <w:rPr>
                <w:rFonts w:ascii="Times New Roman" w:eastAsia="方正公文黑体" w:cs="Times New Roman" w:hAnsi="Times New Roman"/>
                <w:snapToGrid w:val="0"/>
                <w:color w:val="000000"/>
                <w:kern w:val="0"/>
                <w:sz w:val="21"/>
                <w:szCs w:val="21"/>
                <w:lang w:val="en-US" w:eastAsia="zh-CN"/>
              </w:rPr>
            </w:pPr>
            <w:r>
              <w:rPr>
                <w:rFonts w:ascii="Times New Roman" w:eastAsia="方正公文黑体" w:cs="Times New Roman" w:hAnsi="Times New Roman" w:hint="eastAsia"/>
                <w:snapToGrid w:val="0"/>
                <w:color w:val="000000"/>
                <w:kern w:val="0"/>
                <w:sz w:val="21"/>
                <w:szCs w:val="21"/>
                <w:lang w:val="en-US" w:eastAsia="zh-CN"/>
              </w:rPr>
              <w:t>87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落实耕地保护职责，开展辖区内耕地和永久基本农田巡查，发现违法违规线索及时上报。</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center"/>
              <w:textAlignment w:val="center"/>
              <w:rPr>
                <w:rFonts w:ascii="Times New Roman" w:eastAsia="方正公文黑体" w:cs="Times New Roman" w:hAnsi="Times New Roman"/>
                <w:snapToGrid w:val="0"/>
                <w:color w:val="000000"/>
                <w:kern w:val="0"/>
                <w:sz w:val="21"/>
                <w:szCs w:val="21"/>
                <w:lang w:val="en-US" w:eastAsia="zh-CN"/>
              </w:rPr>
            </w:pPr>
            <w:r>
              <w:rPr>
                <w:rFonts w:ascii="Times New Roman" w:eastAsia="方正公文黑体" w:cs="Times New Roman" w:hAnsi="Times New Roman" w:hint="eastAsia"/>
                <w:snapToGrid w:val="0"/>
                <w:color w:val="000000"/>
                <w:kern w:val="0"/>
                <w:sz w:val="21"/>
                <w:szCs w:val="21"/>
                <w:lang w:val="en-US" w:eastAsia="zh-CN"/>
              </w:rPr>
              <w:t>88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做好水资源开发、利用、节约和保护的宣传教育工作，对日常巡查中发现的破坏水资源、水质以及水生态环境的违法线索及时上报。</w:t>
            </w:r>
          </w:p>
        </w:tc>
      </w:tr>
      <w:tr>
        <w:trPr>
          <w:cantSplit/>
          <w:trHeight w:val="660"/>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1"/>
              </w:numPr>
              <w:kinsoku/>
              <w:wordWrap/>
              <w:overflowPunct w:val="0"/>
              <w:topLinePunct w:val="0"/>
              <w:autoSpaceDE w:val="0"/>
              <w:autoSpaceDN w:val="0"/>
              <w:bidi w:val="0"/>
              <w:ind w:left="0" w:firstLine="0"/>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落实饮用水水源地保护责任，组织开展饮用水水源地保护宣传、巡查工作。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1"/>
              </w:numPr>
              <w:kinsoku/>
              <w:wordWrap/>
              <w:overflowPunct w:val="0"/>
              <w:topLinePunct w:val="0"/>
              <w:autoSpaceDE w:val="0"/>
              <w:autoSpaceDN w:val="0"/>
              <w:bidi w:val="0"/>
              <w:ind w:left="0" w:firstLine="0"/>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落实“四水四定”指标任务，负责农业灌溉工作。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1"/>
              </w:numPr>
              <w:kinsoku/>
              <w:wordWrap/>
              <w:overflowPunct w:val="0"/>
              <w:topLinePunct w:val="0"/>
              <w:autoSpaceDE w:val="0"/>
              <w:autoSpaceDN w:val="0"/>
              <w:bidi w:val="0"/>
              <w:ind w:left="0" w:firstLine="0"/>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落实“林长制”，开展日常巡查，发现火情、林业有害生物以及破坏林草资源的行为，及时处理并上报，做好护林员管理工作。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1"/>
              </w:numPr>
              <w:kinsoku/>
              <w:wordWrap/>
              <w:overflowPunct w:val="0"/>
              <w:topLinePunct w:val="0"/>
              <w:autoSpaceDE w:val="0"/>
              <w:autoSpaceDN w:val="0"/>
              <w:bidi w:val="0"/>
              <w:ind w:left="0" w:firstLine="0"/>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组织开展植树造林活动，加强农田防护林建设，按要求实施退耕还林还草，因地制宜实施森林生态修复工程，恢复植被。</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1"/>
              </w:numPr>
              <w:kinsoku/>
              <w:wordWrap/>
              <w:overflowPunct w:val="0"/>
              <w:topLinePunct w:val="0"/>
              <w:autoSpaceDE w:val="0"/>
              <w:autoSpaceDN w:val="0"/>
              <w:bidi w:val="0"/>
              <w:ind w:left="0" w:firstLine="0"/>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负责基本农田保护管理工作，落实基本农田保护责任。</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1"/>
              </w:numPr>
              <w:kinsoku/>
              <w:wordWrap/>
              <w:overflowPunct w:val="0"/>
              <w:topLinePunct w:val="0"/>
              <w:autoSpaceDE w:val="0"/>
              <w:autoSpaceDN w:val="0"/>
              <w:bidi w:val="0"/>
              <w:ind w:left="0" w:firstLine="0"/>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审核批准农村宅基地，依据权限调解土地、林（草）地所有权和使用权属、承包经营权纠纷。</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1"/>
              </w:numPr>
              <w:kinsoku/>
              <w:wordWrap/>
              <w:overflowPunct w:val="0"/>
              <w:topLinePunct w:val="0"/>
              <w:autoSpaceDE w:val="0"/>
              <w:autoSpaceDN w:val="0"/>
              <w:bidi w:val="0"/>
              <w:ind w:left="0" w:firstLine="0"/>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组织开展湿地、野生动物保护宣传与巡查工作，发现违法行为及时制止并上报。</w:t>
            </w:r>
          </w:p>
        </w:tc>
      </w:tr>
      <w:tr>
        <w:trPr>
          <w:cantSplit/>
          <w:trHeight w:val="658"/>
          <w:gridAfter w:val="1"/>
          <w:wAfter w:w="13333" w:type="dxa"/>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jc w:val="left"/>
              <w:textAlignment w:val="center"/>
              <w:rPr>
                <w:rFonts w:ascii="方正仿宋_GBK" w:eastAsia="方正仿宋_GBK" w:cs="方正仿宋_GBK" w:hAnsi="方正仿宋_GBK" w:hint="eastAsia"/>
                <w:i w:val="0"/>
                <w:snapToGrid w:val="0"/>
                <w:color w:val="000000"/>
                <w:kern w:val="0"/>
                <w:sz w:val="32"/>
                <w:szCs w:val="32"/>
                <w:u w:val="none"/>
                <w:lang w:val="en-US" w:eastAsia="zh-CN"/>
              </w:rPr>
            </w:pPr>
            <w:r>
              <w:rPr>
                <w:rFonts w:ascii="Times New Roman" w:eastAsia="方正公文黑体" w:cs="Times New Roman" w:hAnsi="Times New Roman" w:hint="eastAsia"/>
                <w:sz w:val="24"/>
                <w:szCs w:val="24"/>
                <w:lang w:val="en-US" w:eastAsia="zh-CN"/>
              </w:rPr>
              <w:t>八、生态环保</w:t>
            </w:r>
            <w:r>
              <w:rPr>
                <w:rFonts w:ascii="Times New Roman" w:eastAsia="方正公文黑体" w:cs="Times New Roman" w:hAnsi="Times New Roman"/>
                <w:sz w:val="24"/>
                <w:szCs w:val="24"/>
                <w:lang w:val="en-US" w:eastAsia="zh-CN"/>
              </w:rPr>
              <w:t>（</w:t>
            </w:r>
            <w:r>
              <w:rPr>
                <w:rFonts w:ascii="Times New Roman" w:eastAsia="方正公文黑体" w:cs="Times New Roman" w:hAnsi="Times New Roman" w:hint="eastAsia"/>
                <w:sz w:val="24"/>
                <w:szCs w:val="24"/>
                <w:lang w:val="en-US" w:eastAsia="zh-CN"/>
              </w:rPr>
              <w:t>9</w:t>
            </w:r>
            <w:r>
              <w:rPr>
                <w:rFonts w:ascii="Times New Roman" w:eastAsia="方正公文黑体" w:cs="Times New Roman" w:hAnsi="Times New Roman"/>
                <w:sz w:val="24"/>
                <w:szCs w:val="24"/>
                <w:lang w:val="en-US" w:eastAsia="zh-CN"/>
              </w:rPr>
              <w:t>项）</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1"/>
              </w:numPr>
              <w:kinsoku/>
              <w:wordWrap/>
              <w:overflowPunct w:val="0"/>
              <w:topLinePunct w:val="0"/>
              <w:autoSpaceDE w:val="0"/>
              <w:autoSpaceDN w:val="0"/>
              <w:bidi w:val="0"/>
              <w:ind w:left="0" w:firstLine="0"/>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开展节能降碳工作，加强民用散煤的管理，推广使用清洁能源、可再生能源。</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1"/>
              </w:numPr>
              <w:kinsoku/>
              <w:wordWrap/>
              <w:overflowPunct w:val="0"/>
              <w:topLinePunct w:val="0"/>
              <w:autoSpaceDE w:val="0"/>
              <w:autoSpaceDN w:val="0"/>
              <w:bidi w:val="0"/>
              <w:ind w:left="0" w:firstLine="0"/>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落实“河湖长制”，开展河道、沟渠日常巡查，发现问题及时处理并上报。</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1"/>
              </w:numPr>
              <w:kinsoku/>
              <w:wordWrap/>
              <w:overflowPunct w:val="0"/>
              <w:topLinePunct w:val="0"/>
              <w:autoSpaceDE w:val="0"/>
              <w:autoSpaceDN w:val="0"/>
              <w:bidi w:val="0"/>
              <w:ind w:left="0" w:firstLine="0"/>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对本行政区水环境质量负责，开展水污染防治，组织对畜禽散养密集区内的畜禽粪便污水进行分户收集、集中处理利用。</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1"/>
              </w:numPr>
              <w:kinsoku/>
              <w:wordWrap/>
              <w:overflowPunct w:val="0"/>
              <w:topLinePunct w:val="0"/>
              <w:autoSpaceDE w:val="0"/>
              <w:autoSpaceDN w:val="0"/>
              <w:bidi w:val="0"/>
              <w:ind w:left="0" w:firstLine="0"/>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加强对建设施工和运输的管理，依据职责做好扬尘等大气污染防治相关工作。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1"/>
              </w:numPr>
              <w:kinsoku/>
              <w:wordWrap/>
              <w:overflowPunct w:val="0"/>
              <w:topLinePunct w:val="0"/>
              <w:autoSpaceDE w:val="0"/>
              <w:autoSpaceDN w:val="0"/>
              <w:bidi w:val="0"/>
              <w:ind w:left="0" w:firstLine="0"/>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加强土壤污染防治宣传教育和科学普及，增强公众土壤污染防治意识，引导公众依法参与土壤污染防治工作。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1"/>
              </w:numPr>
              <w:kinsoku/>
              <w:wordWrap/>
              <w:overflowPunct w:val="0"/>
              <w:topLinePunct w:val="0"/>
              <w:autoSpaceDE w:val="0"/>
              <w:autoSpaceDN w:val="0"/>
              <w:bidi w:val="0"/>
              <w:ind w:left="0" w:firstLine="0"/>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组织开展农业面源污染防治工作，推广保护性耕作技术，对农业生产过程中使用的农药、农膜等农业投入品的残留物或废弃物进行排查、督促回收。</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1"/>
              </w:numPr>
              <w:kinsoku/>
              <w:wordWrap/>
              <w:overflowPunct w:val="0"/>
              <w:topLinePunct w:val="0"/>
              <w:autoSpaceDE w:val="0"/>
              <w:autoSpaceDN w:val="0"/>
              <w:bidi w:val="0"/>
              <w:ind w:left="0" w:firstLine="0"/>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开展秸秆综合利用工作，做好日常秸秆禁烧动态巡查，及时制止并上报秸秆焚烧违法行为。</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1"/>
              </w:numPr>
              <w:kinsoku/>
              <w:wordWrap/>
              <w:overflowPunct w:val="0"/>
              <w:topLinePunct w:val="0"/>
              <w:autoSpaceDE w:val="0"/>
              <w:autoSpaceDN w:val="0"/>
              <w:bidi w:val="0"/>
              <w:ind w:left="0" w:firstLine="0"/>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负责禁牧封育和舍饲养殖的组织实施工作，开展巡查，发现违法行为及时制止并上报。</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1"/>
              </w:numPr>
              <w:kinsoku/>
              <w:wordWrap/>
              <w:overflowPunct w:val="0"/>
              <w:topLinePunct w:val="0"/>
              <w:autoSpaceDE w:val="0"/>
              <w:autoSpaceDN w:val="0"/>
              <w:bidi w:val="0"/>
              <w:ind w:left="0" w:firstLine="0"/>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加强生态环境治理法治化，依法及时排查化解生态环境领域矛盾纠纷，协同防范打击生态环境领域违法犯罪行为。</w:t>
            </w:r>
          </w:p>
        </w:tc>
      </w:tr>
      <w:tr>
        <w:trPr>
          <w:cantSplit/>
          <w:trHeight w:val="658"/>
          <w:gridAfter w:val="1"/>
          <w:wAfter w:w="13333" w:type="dxa"/>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jc w:val="left"/>
              <w:textAlignment w:val="center"/>
              <w:rPr>
                <w:rFonts w:ascii="Times New Roman" w:eastAsia="方正公文仿宋" w:cs="Times New Roman" w:hAnsi="Times New Roman"/>
                <w:color w:val="auto"/>
                <w:lang w:val="en-US" w:eastAsia="zh-CN"/>
              </w:rPr>
            </w:pPr>
            <w:r>
              <w:rPr>
                <w:rFonts w:ascii="Times New Roman" w:eastAsia="方正公文黑体" w:cs="Times New Roman" w:hAnsi="Times New Roman" w:hint="eastAsia"/>
                <w:sz w:val="24"/>
                <w:szCs w:val="24"/>
                <w:lang w:val="en-US" w:eastAsia="zh-CN"/>
              </w:rPr>
              <w:t>九、城乡建设</w:t>
            </w:r>
            <w:r>
              <w:rPr>
                <w:rFonts w:ascii="Times New Roman" w:eastAsia="方正公文黑体" w:cs="Times New Roman" w:hAnsi="Times New Roman"/>
                <w:sz w:val="24"/>
                <w:szCs w:val="24"/>
                <w:lang w:val="en-US" w:eastAsia="zh-CN"/>
              </w:rPr>
              <w:t>（</w:t>
            </w:r>
            <w:r>
              <w:rPr>
                <w:rFonts w:ascii="Times New Roman" w:eastAsia="方正公文黑体" w:cs="Times New Roman" w:hAnsi="Times New Roman" w:hint="eastAsia"/>
                <w:sz w:val="24"/>
                <w:szCs w:val="24"/>
                <w:lang w:val="en-US" w:eastAsia="zh-CN"/>
              </w:rPr>
              <w:t>5</w:t>
            </w:r>
            <w:r>
              <w:rPr>
                <w:rFonts w:ascii="Times New Roman" w:eastAsia="方正公文黑体" w:cs="Times New Roman" w:hAnsi="Times New Roman"/>
                <w:sz w:val="24"/>
                <w:szCs w:val="24"/>
                <w:lang w:val="en-US" w:eastAsia="zh-CN"/>
              </w:rPr>
              <w:t>项）</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both"/>
              <w:textAlignment w:val="center"/>
              <w:rPr>
                <w:rFonts w:ascii="Times New Roman" w:eastAsia="方正公文黑体" w:cs="Times New Roman" w:hAnsi="Times New Roman"/>
                <w:lang w:val="en-US" w:eastAsia="zh-CN"/>
              </w:rPr>
            </w:pPr>
            <w:r>
              <w:rPr>
                <w:rFonts w:ascii="Times New Roman" w:eastAsia="方正公文黑体" w:cs="Times New Roman" w:hAnsi="Times New Roman" w:hint="eastAsia"/>
                <w:lang w:val="en-US" w:eastAsia="zh-CN"/>
              </w:rPr>
              <w:t>105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编制乡镇规划、村庄规划和控制性详细规划并组织实施，按照管理权限做好公共基础设施建设维护工作，依法处置乡镇、村庄规划区内的违规建设行为，做好违章建筑的拆除工作。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jc w:val="both"/>
              <w:textAlignment w:val="center"/>
              <w:rPr>
                <w:rFonts w:ascii="Times New Roman" w:eastAsia="方正公文黑体" w:cs="Times New Roman" w:hAnsi="Times New Roman"/>
                <w:color w:val="auto"/>
                <w:lang w:val="en-US" w:eastAsia="zh-CN"/>
              </w:rPr>
            </w:pPr>
            <w:r>
              <w:rPr>
                <w:rFonts w:ascii="Times New Roman" w:eastAsia="方正公文黑体" w:cs="Times New Roman" w:hAnsi="Times New Roman" w:hint="eastAsia"/>
                <w:color w:val="auto"/>
                <w:lang w:val="en-US" w:eastAsia="zh-CN"/>
              </w:rPr>
              <w:t>106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auto"/>
                <w:kern w:val="0"/>
                <w:sz w:val="21"/>
                <w:szCs w:val="21"/>
                <w:u w:val="none"/>
                <w:lang w:val="en-US" w:eastAsia="zh-CN"/>
              </w:rPr>
            </w:pPr>
            <w:r>
              <w:rPr>
                <w:rFonts w:ascii="Times New Roman" w:eastAsia="方正公文仿宋" w:cs="Times New Roman" w:hAnsi="Times New Roman" w:hint="eastAsia"/>
                <w:i w:val="0"/>
                <w:snapToGrid w:val="0"/>
                <w:color w:val="auto"/>
                <w:kern w:val="0"/>
                <w:sz w:val="21"/>
                <w:szCs w:val="21"/>
                <w:u w:val="none"/>
                <w:lang w:val="en-US" w:eastAsia="zh-CN"/>
              </w:rPr>
              <w:t>按权限落实乡村工程项目招投标监督与施工管理。</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按规定权限受理、审批农村村民建房、房屋翻建申请，对农民自建低层住宅施工活动实施监督管理。</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开展道路交通安全教育，负责区域内乡道、村道建设申报。</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开展农村公共停车场所、新能源汽车充电桩项目建设保障工作。</w:t>
            </w:r>
          </w:p>
        </w:tc>
      </w:tr>
      <w:tr>
        <w:trPr>
          <w:cantSplit/>
          <w:trHeight w:val="658"/>
          <w:gridAfter w:val="1"/>
          <w:wAfter w:w="13333" w:type="dxa"/>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textAlignment w:val="center"/>
              <w:rPr>
                <w:rFonts w:ascii="Times New Roman" w:eastAsia="方正公文仿宋" w:cs="Times New Roman" w:hAnsi="Times New Roman"/>
                <w:color w:val="auto"/>
                <w:lang w:val="en-US" w:eastAsia="zh-CN"/>
              </w:rPr>
            </w:pPr>
            <w:r>
              <w:rPr>
                <w:rFonts w:ascii="Times New Roman" w:eastAsia="方正公文黑体" w:cs="Times New Roman" w:hAnsi="Times New Roman" w:hint="eastAsia"/>
                <w:sz w:val="24"/>
                <w:szCs w:val="24"/>
                <w:lang w:val="en-US" w:eastAsia="zh-CN"/>
              </w:rPr>
              <w:t>十、文化和旅游</w:t>
            </w:r>
            <w:r>
              <w:rPr>
                <w:rFonts w:ascii="Times New Roman" w:eastAsia="方正公文黑体" w:cs="Times New Roman" w:hAnsi="Times New Roman"/>
                <w:sz w:val="24"/>
                <w:szCs w:val="24"/>
                <w:lang w:val="en-US" w:eastAsia="zh-CN"/>
              </w:rPr>
              <w:t>（</w:t>
            </w:r>
            <w:r>
              <w:rPr>
                <w:rFonts w:ascii="Times New Roman" w:eastAsia="方正公文黑体" w:cs="Times New Roman" w:hAnsi="Times New Roman" w:hint="eastAsia"/>
                <w:sz w:val="24"/>
                <w:szCs w:val="24"/>
                <w:lang w:val="en-US" w:eastAsia="zh-CN"/>
              </w:rPr>
              <w:t>9</w:t>
            </w:r>
            <w:r>
              <w:rPr>
                <w:rFonts w:ascii="Times New Roman" w:eastAsia="方正公文黑体" w:cs="Times New Roman" w:hAnsi="Times New Roman"/>
                <w:sz w:val="24"/>
                <w:szCs w:val="24"/>
                <w:lang w:val="en-US" w:eastAsia="zh-CN"/>
              </w:rPr>
              <w:t>项）</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加大农业文化遗产和非物质文化遗产保护力度，挖掘优秀农业文化内涵，弘扬红色文化，传承和发展优秀传统文化。</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落实旅游产业发展规划，支持和发展乡村旅游，讲好本地文化旅游故事。</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加强文物保护政策宣传，做好果家山遗址</w:t>
            </w:r>
            <w:bookmarkStart w:id="6" w:name="_GoBack"/>
            <w:bookmarkEnd w:id="6"/>
            <w:r>
              <w:rPr>
                <w:rFonts w:ascii="Times New Roman" w:eastAsia="方正公文仿宋" w:cs="Times New Roman" w:hAnsi="Times New Roman" w:hint="eastAsia"/>
                <w:i w:val="0"/>
                <w:snapToGrid w:val="0"/>
                <w:color w:val="000000"/>
                <w:kern w:val="0"/>
                <w:sz w:val="21"/>
                <w:szCs w:val="21"/>
                <w:u w:val="none"/>
                <w:lang w:val="en-US" w:eastAsia="zh-CN"/>
              </w:rPr>
              <w:t>等文物宣传、保护，发现疑似文物或破坏文物情况及时保护现场并上报文物主管部门。</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负责非物质文化遗产宣传、保护、传承，加强对本地“花儿”的传承和保护，培养“花儿”传承人。</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落实全域旅游示范县建设，打造胭脂峡、秋千架、龙房宫、崆峒山特色旅游路线，培育发展民宿、农家乐及“黄花好礼”旅游小商品制作，打造旅游特色乡。</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加强《古生物化石保护条例》宣传，开展古生物化石保护知识的宣传教育，做好漫湾沟生物化石的保护与管理工作。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加大与甘肃省平凉市崆峒区崆峒镇的工作交流，加强特色产业共建、区域开放开发、生态保护治理、人文交流、安全生产等方面的合作。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推动“生态黄花、康养福地”建设，发展康养文旅大健康产业，推动龙房宫温泉康养旅游度假区建设，盘活“冷资源”，在胭脂峡景区发展冰雪经济，打造集中医康养、温泉疗养、生物医药、生态旅游、冰雪旅游于一体的综合型平台。</w:t>
            </w:r>
          </w:p>
        </w:tc>
      </w:tr>
      <w:tr>
        <w:trPr>
          <w:cantSplit/>
          <w:trHeight w:val="658"/>
          <w:gridAfter w:val="1"/>
          <w:wAfter w:w="13333" w:type="dxa"/>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jc w:val="left"/>
              <w:textAlignment w:val="center"/>
              <w:rPr>
                <w:rFonts w:ascii="Times New Roman" w:eastAsia="方正公文仿宋" w:cs="Times New Roman" w:hAnsi="Times New Roman"/>
                <w:color w:val="auto"/>
                <w:lang w:val="en-US" w:eastAsia="zh-CN"/>
              </w:rPr>
            </w:pPr>
            <w:r>
              <w:rPr>
                <w:rFonts w:ascii="Times New Roman" w:eastAsia="方正公文黑体" w:cs="Times New Roman" w:hAnsi="Times New Roman" w:hint="eastAsia"/>
                <w:sz w:val="24"/>
                <w:szCs w:val="24"/>
                <w:lang w:val="en-US" w:eastAsia="zh-CN"/>
              </w:rPr>
              <w:t>十一、卫生健康</w:t>
            </w:r>
            <w:r>
              <w:rPr>
                <w:rFonts w:ascii="Times New Roman" w:eastAsia="方正公文黑体" w:cs="Times New Roman" w:hAnsi="Times New Roman"/>
                <w:sz w:val="24"/>
                <w:szCs w:val="24"/>
                <w:lang w:val="en-US" w:eastAsia="zh-CN"/>
              </w:rPr>
              <w:t>（</w:t>
            </w:r>
            <w:r>
              <w:rPr>
                <w:rFonts w:ascii="Times New Roman" w:eastAsia="方正公文黑体" w:cs="Times New Roman" w:hAnsi="Times New Roman" w:hint="eastAsia"/>
                <w:sz w:val="24"/>
                <w:szCs w:val="24"/>
                <w:lang w:val="en-US" w:eastAsia="zh-CN"/>
              </w:rPr>
              <w:t>4</w:t>
            </w:r>
            <w:r>
              <w:rPr>
                <w:rFonts w:ascii="Times New Roman" w:eastAsia="方正公文黑体" w:cs="Times New Roman" w:hAnsi="Times New Roman"/>
                <w:sz w:val="24"/>
                <w:szCs w:val="24"/>
                <w:lang w:val="en-US" w:eastAsia="zh-CN"/>
              </w:rPr>
              <w:t>项）</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开展爱国卫生运动和健康促进行动，进行健康教育宣传普及，开展病媒生物防治、禁控烟等工作，加强环境卫生建设。</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组织开展预防精神障碍发生、促进精神障碍患者康复、为生活困难家庭提供帮助等工作。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依法依规做好传染病预防和其他公共卫生工作，做好疫情信息的收集报告、人员的分散隔离、公共卫生措施的落实工作，向村民宣传传染病防治的相关知识，防范突发事件的发生。</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组织协调村委员会做好流浪犬、猫的控制和处置，做好农村地区饲养犬只的防疫管理工作。</w:t>
            </w:r>
          </w:p>
        </w:tc>
      </w:tr>
      <w:tr>
        <w:trPr>
          <w:cantSplit/>
          <w:trHeight w:val="658"/>
          <w:gridAfter w:val="1"/>
          <w:wAfter w:w="13333" w:type="dxa"/>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kinsoku/>
              <w:wordWrap/>
              <w:overflowPunct w:val="0"/>
              <w:topLinePunct w:val="0"/>
              <w:autoSpaceDE w:val="0"/>
              <w:autoSpaceDN w:val="0"/>
              <w:bidi w:val="0"/>
              <w:textAlignment w:val="center"/>
              <w:rPr>
                <w:rFonts w:ascii="Times New Roman" w:eastAsia="方正公文仿宋" w:cs="Times New Roman" w:hAnsi="Times New Roman"/>
                <w:color w:val="auto"/>
                <w:lang w:val="en-US" w:eastAsia="zh-CN"/>
              </w:rPr>
            </w:pPr>
            <w:r>
              <w:rPr>
                <w:rFonts w:ascii="Times New Roman" w:eastAsia="方正公文黑体" w:cs="Times New Roman" w:hAnsi="Times New Roman" w:hint="eastAsia"/>
                <w:sz w:val="24"/>
                <w:szCs w:val="24"/>
                <w:lang w:val="en-US" w:eastAsia="zh-CN"/>
              </w:rPr>
              <w:t>十二、应急管理及消防</w:t>
            </w:r>
            <w:r>
              <w:rPr>
                <w:rFonts w:ascii="Times New Roman" w:eastAsia="方正公文黑体" w:cs="Times New Roman" w:hAnsi="Times New Roman"/>
                <w:sz w:val="24"/>
                <w:szCs w:val="24"/>
                <w:lang w:val="en-US" w:eastAsia="zh-CN"/>
              </w:rPr>
              <w:t>（</w:t>
            </w:r>
            <w:r>
              <w:rPr>
                <w:rFonts w:ascii="Times New Roman" w:eastAsia="方正公文黑体" w:cs="Times New Roman" w:hAnsi="Times New Roman" w:hint="eastAsia"/>
                <w:sz w:val="24"/>
                <w:szCs w:val="24"/>
                <w:lang w:val="en-US" w:eastAsia="zh-CN"/>
              </w:rPr>
              <w:t>4</w:t>
            </w:r>
            <w:r>
              <w:rPr>
                <w:rFonts w:ascii="Times New Roman" w:eastAsia="方正公文黑体" w:cs="Times New Roman" w:hAnsi="Times New Roman"/>
                <w:sz w:val="24"/>
                <w:szCs w:val="24"/>
                <w:lang w:val="en-US" w:eastAsia="zh-CN"/>
              </w:rPr>
              <w:t>项）</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安置以及应急知识宣传普及等应急管理工作、社会治安秩序维护和灾后受灾群众生产生活恢复工作，做到“预防在先、发现在早、处置在小”。</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落实消防安全责任制，加强对农村消防工作的领导，指导、支持和帮助村委员会开展群众性的消防工作，根据需要建立专职消防队、志愿消防队，承担火灾扑救、应急救援、疏散群众等职能，并开展消防宣传、消防演练、防火巡查、督促隐患整改等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开展森林草原防火宣传、普及森林草原防火法律法规和避险知识，发挥群防作用。</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做好气象等灾害防御工作，按照相关部署开展气象灾害防御知识宣传、应急联络、信息传递、灾害报告和灾情调查等工作。</w:t>
            </w:r>
          </w:p>
        </w:tc>
      </w:tr>
      <w:tr>
        <w:trPr>
          <w:cantSplit/>
          <w:trHeight w:val="658"/>
          <w:gridAfter w:val="1"/>
          <w:wAfter w:w="13333" w:type="dxa"/>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jc w:val="left"/>
              <w:textAlignment w:val="center"/>
              <w:rPr>
                <w:rFonts w:ascii="Times New Roman" w:eastAsia="方正公文仿宋" w:cs="Times New Roman" w:hAnsi="Times New Roman" w:hint="eastAsia"/>
                <w:color w:val="auto"/>
                <w:lang w:val="en-US" w:eastAsia="zh-CN"/>
              </w:rPr>
            </w:pPr>
            <w:r>
              <w:rPr>
                <w:rFonts w:ascii="Times New Roman" w:eastAsia="方正公文黑体" w:cs="Times New Roman" w:hAnsi="Times New Roman" w:hint="eastAsia"/>
                <w:sz w:val="24"/>
                <w:szCs w:val="24"/>
                <w:lang w:val="en-US" w:eastAsia="zh-CN"/>
              </w:rPr>
              <w:t>十三、综合政务</w:t>
            </w:r>
            <w:r>
              <w:rPr>
                <w:rFonts w:ascii="Times New Roman" w:eastAsia="方正公文黑体" w:cs="Times New Roman" w:hAnsi="Times New Roman"/>
                <w:sz w:val="24"/>
                <w:szCs w:val="24"/>
                <w:lang w:val="en-US" w:eastAsia="zh-CN"/>
              </w:rPr>
              <w:t>（</w:t>
            </w:r>
            <w:r>
              <w:rPr>
                <w:rFonts w:ascii="Times New Roman" w:eastAsia="方正公文黑体" w:cs="Times New Roman" w:hAnsi="Times New Roman" w:hint="eastAsia"/>
                <w:sz w:val="24"/>
                <w:szCs w:val="24"/>
                <w:lang w:val="en-US" w:eastAsia="zh-CN"/>
              </w:rPr>
              <w:t>10</w:t>
            </w:r>
            <w:r>
              <w:rPr>
                <w:rFonts w:ascii="Times New Roman" w:eastAsia="方正公文黑体" w:cs="Times New Roman" w:hAnsi="Times New Roman"/>
                <w:sz w:val="24"/>
                <w:szCs w:val="24"/>
                <w:lang w:val="en-US" w:eastAsia="zh-CN"/>
              </w:rPr>
              <w:t>项）</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负责公文处理、信息报送、文稿起草、审核签发、档案、印章管理等日常政务工作。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落实保密工作责任，健全保密管理制度，完善保密防护措施，开展保密宣传教育，筑牢保密工作基层防线。</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对公共场所悬挂的党徽党旗、国徽国旗使用情况开展排查，对不规范使用的行为督促整改。</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落实政务公开制度，做好本行政机关政府信息公开的日常工作。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负责本单位安全保卫工作，落实24小时值班值守和紧急信息报送制度，对突发事件及时上报并进行先期处置。</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开展年鉴及地情文献资料收集、整理、编撰报送以及史志资料收集工作。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建设节约型机关，加强用水用电和办公用房管理，推进无纸化办公，做好办公耗材的回收利用。</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做好政府采购管理，根据采购目录和采购限额标准开展采购工作。</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负责固定资产新增、报废、盘点、调剂、划拨等综合管理。</w:t>
            </w:r>
          </w:p>
        </w:tc>
      </w:tr>
      <w:tr>
        <w:trPr>
          <w:cantSplit/>
          <w:trHeight w:val="658"/>
          <w:gridAfter w:val="1"/>
          <w:wAfter w:w="13333" w:type="dxa"/>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pPr>
              <w:pageBreakBefore w:val="0"/>
              <w:widowControl/>
              <w:numPr>
                <w:ilvl w:val="0"/>
                <w:numId w:val="2"/>
              </w:numPr>
              <w:kinsoku/>
              <w:wordWrap/>
              <w:overflowPunct w:val="0"/>
              <w:topLinePunct w:val="0"/>
              <w:autoSpaceDE w:val="0"/>
              <w:autoSpaceDN w:val="0"/>
              <w:bidi w:val="0"/>
              <w:ind w:left="425" w:hanging="425"/>
              <w:jc w:val="center"/>
              <w:textAlignment w:val="center"/>
              <w:rPr>
                <w:rFonts w:ascii="Times New Roman" w:eastAsia="方正公文黑体" w:cs="Times New Roman" w:hAnsi="Times New Roman"/>
                <w:lang w:val="en-US" w:eastAsia="zh-CN"/>
              </w:rPr>
            </w:pP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做好12345热线平台诉求办理，落实督查督办事项和巡视巡察、审计等反馈问题整改。</w:t>
            </w:r>
          </w:p>
        </w:tc>
      </w:tr>
    </w:tbl>
    <w:p>
      <w:pPr>
        <w:pStyle w:val="1"/>
        <w:keepNext/>
        <w:keepLines/>
        <w:pageBreakBefore w:val="0"/>
        <w:widowControl/>
        <w:kinsoku/>
        <w:wordWrap/>
        <w:overflowPunct w:val="0"/>
        <w:topLinePunct w:val="0"/>
        <w:autoSpaceDE w:val="0"/>
        <w:autoSpaceDN w:val="0"/>
        <w:bidi w:val="0"/>
        <w:adjustRightInd w:val="0"/>
        <w:snapToGrid w:val="0"/>
        <w:spacing w:before="0" w:after="0" w:line="240" w:lineRule="auto"/>
        <w:jc w:val="center"/>
        <w:rPr>
          <w:rFonts w:ascii="Times New Roman" w:eastAsia="方正小标宋_GBK" w:cs="Times New Roman" w:hAnsi="Times New Roman"/>
          <w:color w:val="auto"/>
          <w:lang w:eastAsia="zh-CN"/>
        </w:rPr>
      </w:pPr>
      <w:r>
        <w:rPr>
          <w:rFonts w:ascii="Times New Roman" w:eastAsia="方正小标宋_GBK" w:cs="Times New Roman" w:hAnsi="Times New Roman"/>
          <w:color w:val="auto"/>
          <w:lang w:eastAsia="zh-CN"/>
        </w:rPr>
        <w:br w:type="page"/>
      </w:r>
      <w:bookmarkStart w:id="7" w:name="_Toc172077950"/>
      <w:bookmarkStart w:id="8" w:name="_Toc1424135948_WPSOffice_Level1"/>
      <w:bookmarkStart w:id="9" w:name="_Toc960463350"/>
      <w:bookmarkStart w:id="10" w:name="_Toc172077552"/>
      <w:bookmarkStart w:id="11" w:name="_Toc172077417"/>
      <w:bookmarkStart w:id="12" w:name="_Toc1543193140"/>
      <w:r>
        <w:rPr>
          <w:rFonts w:ascii="Times New Roman" w:eastAsia="方正公文小标宋" w:cs="Times New Roman" w:hAnsi="Times New Roman"/>
          <w:b w:val="0"/>
          <w:lang w:eastAsia="zh-CN"/>
        </w:rPr>
        <w:t>配合</w:t>
      </w:r>
      <w:r>
        <w:rPr>
          <w:rFonts w:ascii="Times New Roman" w:eastAsia="方正公文小标宋" w:cs="Times New Roman" w:hAnsi="Times New Roman" w:hint="eastAsia"/>
          <w:b w:val="0"/>
          <w:lang w:eastAsia="zh-CN"/>
        </w:rPr>
        <w:t>履职事项</w:t>
      </w:r>
      <w:r>
        <w:rPr>
          <w:rFonts w:ascii="Times New Roman" w:eastAsia="方正公文小标宋" w:cs="Times New Roman" w:hAnsi="Times New Roman"/>
          <w:b w:val="0"/>
          <w:lang w:eastAsia="zh-CN"/>
        </w:rPr>
        <w:t>清单</w:t>
      </w:r>
      <w:bookmarkEnd w:id="7"/>
      <w:bookmarkEnd w:id="8"/>
      <w:bookmarkEnd w:id="9"/>
      <w:bookmarkEnd w:id="10"/>
      <w:bookmarkEnd w:id="11"/>
      <w:bookmarkEnd w:id="12"/>
    </w:p>
    <w:tbl>
      <w:tblPr>
        <w:jc w:val="left"/>
        <w:tblInd w:w="0" w:type="dxa"/>
        <w:tblW w:w="1404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600" w:firstRow="0" w:lastRow="0" w:firstColumn="0" w:lastColumn="0" w:noHBand="1" w:noVBand="1"/>
      </w:tblPr>
      <w:tblGrid>
        <w:gridCol w:w="727"/>
        <w:gridCol w:w="1814"/>
        <w:gridCol w:w="1814"/>
        <w:gridCol w:w="4842"/>
        <w:gridCol w:w="4848"/>
      </w:tblGrid>
      <w:tr>
        <w:trPr>
          <w:trHeight w:val="454"/>
          <w:tblHeader/>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黑体" w:hAnsi="Times New Roman"/>
                <w:color w:val="auto"/>
              </w:rPr>
            </w:pPr>
            <w:r>
              <w:rPr>
                <w:rFonts w:ascii="Times New Roman" w:eastAsia="方正公文黑体" w:hAnsi="Times New Roman"/>
                <w:color w:val="auto"/>
              </w:rPr>
              <w:t>序号</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黑体" w:hAnsi="Times New Roman"/>
                <w:color w:val="auto"/>
              </w:rPr>
            </w:pPr>
            <w:r>
              <w:rPr>
                <w:rFonts w:ascii="Times New Roman" w:eastAsia="方正公文黑体" w:hAnsi="Times New Roman"/>
                <w:color w:val="auto"/>
              </w:rPr>
              <w:t>事项名称</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黑体" w:hAnsi="Times New Roman"/>
                <w:color w:val="auto"/>
              </w:rPr>
            </w:pPr>
            <w:r>
              <w:rPr>
                <w:rFonts w:ascii="Times New Roman" w:eastAsia="方正公文黑体" w:hAnsi="Times New Roman"/>
                <w:color w:val="auto"/>
              </w:rPr>
              <w:t>对应上级部门</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黑体" w:hAnsi="Times New Roman"/>
                <w:color w:val="auto"/>
              </w:rPr>
            </w:pPr>
            <w:r>
              <w:rPr>
                <w:rFonts w:ascii="Times New Roman" w:eastAsia="方正公文黑体" w:hAnsi="Times New Roman"/>
                <w:color w:val="auto"/>
              </w:rPr>
              <w:t>上级部门职责</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黑体" w:hAnsi="Times New Roman"/>
                <w:color w:val="auto"/>
                <w:lang w:eastAsia="zh-CN"/>
              </w:rPr>
            </w:pPr>
            <w:r>
              <w:rPr>
                <w:rFonts w:ascii="Times New Roman" w:eastAsia="方正公文黑体" w:hAnsi="Times New Roman" w:hint="eastAsia"/>
                <w:color w:val="auto"/>
                <w:lang w:eastAsia="zh-CN"/>
              </w:rPr>
              <w:t>乡镇</w:t>
            </w:r>
            <w:r>
              <w:rPr>
                <w:rFonts w:ascii="Times New Roman" w:eastAsia="方正公文黑体" w:hAnsi="Times New Roman"/>
                <w:color w:val="auto"/>
                <w:lang w:eastAsia="zh-CN"/>
              </w:rPr>
              <w:t>（</w:t>
            </w:r>
            <w:r>
              <w:rPr>
                <w:rFonts w:ascii="Times New Roman" w:eastAsia="方正公文黑体" w:hAnsi="Times New Roman" w:hint="eastAsia"/>
                <w:color w:val="auto"/>
                <w:lang w:eastAsia="zh-CN"/>
              </w:rPr>
              <w:t>街道）</w:t>
            </w:r>
            <w:r>
              <w:rPr>
                <w:rFonts w:ascii="Times New Roman" w:eastAsia="方正公文黑体" w:hAnsi="Times New Roman"/>
                <w:color w:val="auto"/>
                <w:lang w:eastAsia="zh-CN"/>
              </w:rPr>
              <w:t>配合职责</w:t>
            </w:r>
          </w:p>
        </w:tc>
      </w:tr>
      <w:tr>
        <w:trPr>
          <w:trHeight w:val="482"/>
        </w:trPr>
        <w:tc>
          <w:tcPr>
            <w:tcW w:w="14045" w:type="dxa"/>
            <w:gridSpan w:val="5"/>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textAlignment w:val="center"/>
              <w:rPr>
                <w:rFonts w:ascii="Times New Roman" w:eastAsia="方正公文黑体" w:hAnsi="Times New Roman"/>
                <w:color w:val="auto"/>
                <w:lang w:eastAsia="zh-CN"/>
              </w:rPr>
            </w:pPr>
            <w:r>
              <w:rPr>
                <w:rStyle w:val="25"/>
                <w:rFonts w:eastAsia="方正公文黑体" w:hAnsi="方正公文黑体" w:hint="eastAsia"/>
                <w:color w:val="auto"/>
                <w:lang w:eastAsia="zh-CN"/>
              </w:rPr>
              <w:t>一、民生服务（</w:t>
            </w:r>
            <w:r>
              <w:rPr>
                <w:rStyle w:val="25"/>
                <w:rFonts w:ascii="Times New Roman" w:eastAsia="方正公文黑体" w:hAnsi="方正公文黑体" w:hint="eastAsia"/>
                <w:color w:val="auto"/>
                <w:lang w:val="en-US" w:eastAsia="zh-CN"/>
              </w:rPr>
              <w:t>4</w:t>
            </w:r>
            <w:r>
              <w:rPr>
                <w:rStyle w:val="25"/>
                <w:rFonts w:eastAsia="方正公文黑体" w:hAnsi="方正公文黑体" w:hint="eastAsia"/>
                <w:color w:val="auto"/>
                <w:lang w:eastAsia="zh-CN"/>
              </w:rPr>
              <w:t>项）</w:t>
            </w:r>
          </w:p>
        </w:tc>
      </w:tr>
      <w:tr>
        <w:trPr>
          <w:trHeight w:val="1701"/>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color w:val="auto"/>
                <w:lang w:val="en-US" w:eastAsia="zh-CN"/>
              </w:rPr>
              <w:t>1</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流浪乞讨人员救助</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县民政和退役军人事务局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color w:val="auto"/>
                <w:lang w:val="en-US" w:eastAsia="zh-CN"/>
              </w:rPr>
              <w:t>1.</w:t>
            </w:r>
            <w:r>
              <w:rPr>
                <w:rFonts w:ascii="Times New Roman" w:eastAsia="方正公文仿宋" w:cs="Times New Roman" w:hAnsi="Times New Roman" w:hint="eastAsia"/>
                <w:color w:val="auto"/>
                <w:lang w:val="en-US" w:eastAsia="zh-CN"/>
              </w:rPr>
              <w:t>对乡镇上报流浪乞讨人员进行汇总、核查；</w:t>
            </w:r>
            <w:r>
              <w:rPr>
                <w:rFonts w:ascii="Times New Roman" w:eastAsia="方正公文仿宋" w:cs="Times New Roman" w:hAnsi="Times New Roman"/>
                <w:color w:val="auto"/>
                <w:lang w:val="en-US" w:eastAsia="zh-CN"/>
              </w:rPr>
              <w:br/>
              <w:t>2.</w:t>
            </w:r>
            <w:r>
              <w:rPr>
                <w:rFonts w:ascii="Times New Roman" w:eastAsia="方正公文仿宋" w:cs="Times New Roman" w:hAnsi="Times New Roman" w:hint="eastAsia"/>
                <w:color w:val="auto"/>
                <w:lang w:val="en-US" w:eastAsia="zh-CN"/>
              </w:rPr>
              <w:t>对符合条件人员进行救助，对不符合条件人员告知理由。</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color w:val="auto"/>
                <w:lang w:val="en-US" w:eastAsia="zh-CN"/>
              </w:rPr>
              <w:t>1.</w:t>
            </w:r>
            <w:r>
              <w:rPr>
                <w:rFonts w:ascii="Times New Roman" w:eastAsia="方正公文仿宋" w:cs="Times New Roman" w:hAnsi="Times New Roman" w:hint="eastAsia"/>
                <w:color w:val="auto"/>
                <w:lang w:val="en-US" w:eastAsia="zh-CN"/>
              </w:rPr>
              <w:t>发现、上报流浪乞讨人员信息；</w:t>
            </w:r>
            <w:r>
              <w:rPr>
                <w:rFonts w:ascii="Times New Roman" w:eastAsia="方正公文仿宋" w:cs="Times New Roman" w:hAnsi="Times New Roman"/>
                <w:color w:val="auto"/>
                <w:lang w:val="en-US" w:eastAsia="zh-CN"/>
              </w:rPr>
              <w:br/>
              <w:t>2.</w:t>
            </w:r>
            <w:r>
              <w:rPr>
                <w:rFonts w:ascii="Times New Roman" w:eastAsia="方正公文仿宋" w:cs="Times New Roman" w:hAnsi="Times New Roman" w:hint="eastAsia"/>
                <w:color w:val="auto"/>
                <w:lang w:val="en-US" w:eastAsia="zh-CN"/>
              </w:rPr>
              <w:t>对本辖区有监护人的流浪乞讨人员进行帮扶安置。</w:t>
            </w:r>
          </w:p>
        </w:tc>
      </w:tr>
      <w:tr>
        <w:trPr>
          <w:trHeight w:val="1894"/>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color w:val="auto"/>
                <w:lang w:val="en-US" w:eastAsia="zh-CN"/>
              </w:rPr>
              <w:t>2</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开展散居老人能力评估</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县民政和退役军人事务局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负责开展社会化养老、特困人员全面核查及探访关怀、散居老人能力评估。</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color w:val="auto"/>
                <w:lang w:val="en-US" w:eastAsia="zh-CN"/>
              </w:rPr>
              <w:t>1.</w:t>
            </w:r>
            <w:r>
              <w:rPr>
                <w:rFonts w:ascii="Times New Roman" w:eastAsia="方正公文仿宋" w:cs="Times New Roman" w:hAnsi="Times New Roman" w:hint="eastAsia"/>
                <w:color w:val="auto"/>
                <w:lang w:val="en-US" w:eastAsia="zh-CN"/>
              </w:rPr>
              <w:t>配合组织人员参加评估；</w:t>
            </w:r>
            <w:r>
              <w:rPr>
                <w:rFonts w:ascii="Times New Roman" w:eastAsia="方正公文仿宋" w:cs="Times New Roman" w:hAnsi="Times New Roman"/>
                <w:color w:val="auto"/>
                <w:lang w:val="en-US" w:eastAsia="zh-CN"/>
              </w:rPr>
              <w:br/>
              <w:t>2.</w:t>
            </w:r>
            <w:r>
              <w:rPr>
                <w:rFonts w:ascii="Times New Roman" w:eastAsia="方正公文仿宋" w:cs="Times New Roman" w:hAnsi="Times New Roman" w:hint="eastAsia"/>
                <w:color w:val="auto"/>
                <w:lang w:val="en-US" w:eastAsia="zh-CN"/>
              </w:rPr>
              <w:t>宣传社会化养老政策。</w:t>
            </w:r>
          </w:p>
        </w:tc>
      </w:tr>
      <w:tr>
        <w:trPr>
          <w:trHeight w:val="1594"/>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color w:val="auto"/>
                <w:lang w:val="en-US" w:eastAsia="zh-CN"/>
              </w:rPr>
              <w:t>3</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创业担保贷款审批</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县人力资源和社会保障局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会同经办银行对申请人员的项目规模、经营收入、社会保险缴纳、社会信用、负债等情况进行实地考察评估后发放贷款。</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核实上报申请人员信息。</w:t>
            </w:r>
          </w:p>
        </w:tc>
      </w:tr>
      <w:tr>
        <w:trPr>
          <w:trHeight w:val="1447"/>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color w:val="auto"/>
                <w:lang w:val="en-US" w:eastAsia="zh-CN"/>
              </w:rPr>
              <w:t>4</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离校未就业毕业生、</w:t>
            </w:r>
            <w:r>
              <w:rPr>
                <w:rFonts w:ascii="Times New Roman" w:eastAsia="方正公文仿宋" w:cs="Times New Roman" w:hAnsi="Times New Roman"/>
                <w:color w:val="auto"/>
                <w:lang w:val="en-US" w:eastAsia="zh-CN"/>
              </w:rPr>
              <w:t>“</w:t>
            </w:r>
            <w:r>
              <w:rPr>
                <w:rFonts w:ascii="Times New Roman" w:eastAsia="方正公文仿宋" w:cs="Times New Roman" w:hAnsi="Times New Roman" w:hint="eastAsia"/>
                <w:color w:val="auto"/>
                <w:lang w:val="en-US" w:eastAsia="zh-CN"/>
              </w:rPr>
              <w:t>两后生</w:t>
            </w:r>
            <w:r>
              <w:rPr>
                <w:rFonts w:ascii="Times New Roman" w:eastAsia="方正公文仿宋" w:cs="Times New Roman" w:hAnsi="Times New Roman"/>
                <w:color w:val="auto"/>
                <w:lang w:val="en-US" w:eastAsia="zh-CN"/>
              </w:rPr>
              <w:t>”</w:t>
            </w:r>
            <w:r>
              <w:rPr>
                <w:rFonts w:ascii="Times New Roman" w:eastAsia="方正公文仿宋" w:cs="Times New Roman" w:hAnsi="Times New Roman" w:hint="eastAsia"/>
                <w:color w:val="auto"/>
                <w:lang w:val="en-US" w:eastAsia="zh-CN"/>
              </w:rPr>
              <w:t>毕业去向核实</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县人力资源和社会保障局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统筹提供就业信息。</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color w:val="auto"/>
                <w:lang w:val="en-US" w:eastAsia="zh-CN"/>
              </w:rPr>
              <w:t>1.</w:t>
            </w:r>
            <w:r>
              <w:rPr>
                <w:rFonts w:ascii="Times New Roman" w:eastAsia="方正公文仿宋" w:cs="Times New Roman" w:hAnsi="Times New Roman" w:hint="eastAsia"/>
                <w:color w:val="auto"/>
                <w:lang w:val="en-US" w:eastAsia="zh-CN"/>
              </w:rPr>
              <w:t>核实</w:t>
            </w:r>
            <w:r>
              <w:rPr>
                <w:rFonts w:ascii="Times New Roman" w:eastAsia="方正公文仿宋" w:cs="Times New Roman" w:hAnsi="Times New Roman"/>
                <w:color w:val="auto"/>
                <w:lang w:val="en-US" w:eastAsia="zh-CN"/>
              </w:rPr>
              <w:t>“</w:t>
            </w:r>
            <w:r>
              <w:rPr>
                <w:rFonts w:ascii="Times New Roman" w:eastAsia="方正公文仿宋" w:cs="Times New Roman" w:hAnsi="Times New Roman" w:hint="eastAsia"/>
                <w:color w:val="auto"/>
                <w:lang w:val="en-US" w:eastAsia="zh-CN"/>
              </w:rPr>
              <w:t>两后生</w:t>
            </w:r>
            <w:r>
              <w:rPr>
                <w:rFonts w:ascii="Times New Roman" w:eastAsia="方正公文仿宋" w:cs="Times New Roman" w:hAnsi="Times New Roman"/>
                <w:color w:val="auto"/>
                <w:lang w:val="en-US" w:eastAsia="zh-CN"/>
              </w:rPr>
              <w:t>”</w:t>
            </w:r>
            <w:r>
              <w:rPr>
                <w:rFonts w:ascii="Times New Roman" w:eastAsia="方正公文仿宋" w:cs="Times New Roman" w:hAnsi="Times New Roman" w:hint="eastAsia"/>
                <w:color w:val="auto"/>
                <w:lang w:val="en-US" w:eastAsia="zh-CN"/>
              </w:rPr>
              <w:t>就业情况；</w:t>
            </w:r>
            <w:r>
              <w:rPr>
                <w:rFonts w:ascii="Times New Roman" w:eastAsia="方正公文仿宋" w:cs="Times New Roman" w:hAnsi="Times New Roman"/>
                <w:color w:val="auto"/>
                <w:lang w:val="en-US" w:eastAsia="zh-CN"/>
              </w:rPr>
              <w:br/>
              <w:t>2.</w:t>
            </w:r>
            <w:r>
              <w:rPr>
                <w:rFonts w:ascii="Times New Roman" w:eastAsia="方正公文仿宋" w:cs="Times New Roman" w:hAnsi="Times New Roman" w:hint="eastAsia"/>
                <w:color w:val="auto"/>
                <w:lang w:val="en-US" w:eastAsia="zh-CN"/>
              </w:rPr>
              <w:t>宣传职业供求信息，动员积极就业。</w:t>
            </w:r>
          </w:p>
        </w:tc>
      </w:tr>
      <w:tr>
        <w:trPr>
          <w:trHeight w:val="658"/>
        </w:trPr>
        <w:tc>
          <w:tcPr>
            <w:tcW w:w="14045" w:type="dxa"/>
            <w:gridSpan w:val="5"/>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ascii="Times New Roman" w:eastAsia="方正公文仿宋" w:cs="Times New Roman" w:hAnsi="Times New Roman" w:hint="eastAsia"/>
                <w:color w:val="auto"/>
                <w:lang w:val="en-US" w:eastAsia="zh-CN"/>
              </w:rPr>
            </w:pPr>
            <w:r>
              <w:rPr>
                <w:rStyle w:val="25"/>
                <w:rFonts w:eastAsia="方正公文黑体" w:hAnsi="方正公文黑体" w:hint="eastAsia"/>
                <w:color w:val="auto"/>
                <w:lang w:val="en-US" w:eastAsia="zh-CN"/>
              </w:rPr>
              <w:t>二、平安法治（6项）</w:t>
            </w:r>
          </w:p>
        </w:tc>
      </w:tr>
      <w:tr>
        <w:trPr>
          <w:trHeight w:val="4304"/>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hint="eastAsia"/>
                <w:color w:val="auto"/>
                <w:lang w:val="en-US" w:eastAsia="zh-CN"/>
              </w:rPr>
              <w:t>5</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涉行业部门信访事项办理</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县信访局及有关行业部门</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县信访局：</w:t>
              <w:br/>
              <w:t>1.受理、转送、交办信访事项；</w:t>
              <w:br/>
              <w:t>2.协调解决重要信访问题；</w:t>
              <w:br/>
              <w:t>3.督促检查重要信访事项的处理和落实；</w:t>
              <w:br/>
              <w:t>4.综合反映信访信息，分析研判信访形势，为党委和政府提供决策参考；</w:t>
              <w:br/>
              <w:t>5.指导本级其他机关、单位和下级的信访工作；</w:t>
              <w:br/>
              <w:t>6.提出改进工作、完善政策和追究责任的建议；</w:t>
              <w:br/>
              <w:t xml:space="preserve">7.承担本级党委和政府交办的其他事项。                     </w:t>
              <w:br/>
              <w:t>县信访联席会议各成员单位：做好各自职责范围内的信访工作，按照规定及时受理办理信访事项，预防和化解政策性、群体性信访问题，加强对下级机关、单位信访工作的指导。</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配合行业部门做好人员稳控工作。</w:t>
            </w:r>
          </w:p>
        </w:tc>
      </w:tr>
      <w:tr>
        <w:trPr>
          <w:trHeight w:val="4170"/>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eastAsia="zh-CN"/>
              </w:rPr>
            </w:pPr>
            <w:r>
              <w:rPr>
                <w:rFonts w:ascii="Times New Roman" w:eastAsia="方正公文仿宋" w:cs="Times New Roman" w:hAnsi="Times New Roman"/>
                <w:color w:val="auto"/>
                <w:lang w:eastAsia="zh-CN"/>
              </w:rPr>
              <w:t>6</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防范和处置非法集资</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县财政局</w:t>
              <w:br/>
              <w:t>县公安局</w:t>
              <w:br/>
              <w:t>县市场监督管理局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县财政局：</w:t>
              <w:br/>
              <w:t>1.负责协调本级防范和处置非法集资工作，汇总、上报有关工作信息；</w:t>
              <w:br/>
              <w:t>2.全面做好非法集资风险排查和监测预警工作，加强政策解读，通报相关形势，统筹做好宣传教育工作，提高防范非法集资宣传教育的针对性、有效性；</w:t>
              <w:br/>
              <w:t>3.完成上级部门交办的各项防范和处置非法集资工作。</w:t>
              <w:br/>
              <w:t>县公安局：负责对涉嫌非法集资的案件进行立案侦查，依法打击犯罪分子，保护受害者的合法权益。</w:t>
              <w:br/>
              <w:t>县市场监督管理局：开展涉嫌非法集资广告资讯信息排查、处理工作。</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1.明确负责防范和处置非法集资的工作人员；</w:t>
              <w:br/>
              <w:t>2.开展防范非法集资宣传工作；</w:t>
              <w:br/>
              <w:t>3.建立健全日常巡查、专项检查、随机抽查和集中排查等多种方式的主动风险排查机制，发现所在区域有涉嫌非法集资行为的，及时上报。</w:t>
            </w:r>
          </w:p>
        </w:tc>
      </w:tr>
      <w:tr>
        <w:trPr>
          <w:trHeight w:val="1933"/>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eastAsia="zh-CN"/>
              </w:rPr>
            </w:pPr>
            <w:r>
              <w:rPr>
                <w:rFonts w:ascii="Times New Roman" w:eastAsia="方正公文仿宋" w:cs="Times New Roman" w:hAnsi="Times New Roman"/>
                <w:color w:val="auto"/>
                <w:lang w:eastAsia="zh-CN"/>
              </w:rPr>
              <w:t>7</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打击传销</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县市场监督管理局</w:t>
              <w:br/>
              <w:t>县公安局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县市场监督管理局：依法查处为传销行为提供经营场所、培训场所、货源储存等条件的行为,对涉嫌犯罪的依法移送公安机关立案侦查。</w:t>
              <w:br/>
              <w:t>县公安局：立案侦查传销案件，对经侦查不构成犯罪的，应当依法移交市场监督管理局查处。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1.开展防范非法传销政策宣传，发现问题线索及时上报；</w:t>
              <w:br/>
              <w:t>2.协助有关部门查处传销行为。</w:t>
            </w:r>
          </w:p>
        </w:tc>
      </w:tr>
      <w:tr>
        <w:trPr>
          <w:trHeight w:val="2717"/>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eastAsia="zh-CN"/>
              </w:rPr>
            </w:pPr>
            <w:r>
              <w:rPr>
                <w:rFonts w:ascii="Times New Roman" w:eastAsia="方正公文仿宋" w:cs="Times New Roman" w:hAnsi="Times New Roman"/>
                <w:color w:val="auto"/>
                <w:lang w:eastAsia="zh-CN"/>
              </w:rPr>
              <w:t>8</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扫黄打非</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县委宣传部</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1.传达落实上级文件精神，开展“扫黄打非”进基层宣传工作；</w:t>
              <w:br/>
              <w:t>2.制定工作计划，定期召开“扫黄打非”专题会议，研判“扫黄打非”工作新形势；</w:t>
              <w:br/>
              <w:t>3.开展线上线下巡查工作，发现非法有害出版物和不良信息及时向上级“扫黄打非”相关部门汇报并配合执法部门依法查处。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1.负责“扫黄打非”宣传工作；</w:t>
              <w:br/>
              <w:t>2.发现问题线索及时上报主管部门。</w:t>
            </w:r>
          </w:p>
        </w:tc>
      </w:tr>
      <w:tr>
        <w:trPr>
          <w:trHeight w:val="3380"/>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eastAsia="zh-CN"/>
              </w:rPr>
            </w:pPr>
            <w:r>
              <w:rPr>
                <w:rFonts w:ascii="Times New Roman" w:eastAsia="方正公文仿宋" w:cs="Times New Roman" w:hAnsi="Times New Roman"/>
                <w:color w:val="auto"/>
                <w:lang w:eastAsia="zh-CN"/>
              </w:rPr>
              <w:t>9</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校外培训机构监督管理</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县教育体育局</w:t>
              <w:br/>
              <w:t>县文化旅游广电局</w:t>
              <w:br/>
              <w:t>县市场监督管理局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县教育体育局：负责查处未取得办学许可证违法经营的机构，并在做好办学许可证审批工作基础上，重点做好培训内容、培训班次、招生对象、教师资格及培训行为的监管工作，牵头组织校外培训市场综合执法。</w:t>
              <w:br/>
              <w:t>县文化旅游广电局：做好艺术类校外培训机构的培训业务指导工作。</w:t>
              <w:br/>
              <w:t>县市场监督管理局：重点做好相关登记、收费、广告宣传、反垄断等方面的监管工作。</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1.将校外培训机构巡查纳入网格员日常工作，发现问题及时劝导制止，并上报给县教育体育局；</w:t>
              <w:br/>
              <w:t>2.协助相关部门及时核实投诉举报；</w:t>
              <w:br/>
              <w:t>3.协助各行业主管部门开展校外培训机构综合整治。</w:t>
            </w:r>
          </w:p>
        </w:tc>
      </w:tr>
      <w:tr>
        <w:trPr>
          <w:trHeight w:val="3205"/>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hint="eastAsia"/>
                <w:color w:val="auto"/>
                <w:lang w:val="en-US" w:eastAsia="zh-CN"/>
              </w:rPr>
              <w:t>10</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校园周边安全治理</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县教育体育局</w:t>
              <w:br/>
              <w:t>县公安局</w:t>
              <w:br/>
              <w:t>县市场监督管理局</w:t>
              <w:br/>
              <w:t>县城乡建设和交通运输局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县教育体育局：指导监督学校依法健全各项安全管理制度。</w:t>
              <w:br/>
              <w:t>县公安局：对校园周边出租房屋、宾馆、酒店等重点场所清理整治，落实“护学岗”高峰勤务，配合清理校园周边各类违规培训班、托管班。</w:t>
              <w:br/>
              <w:t>县市场监督管理局：负责校园周边经营单位食品安全、产品质量安全的监督管理。</w:t>
              <w:br/>
              <w:t>县城乡建设和交通运输局：负责校园周边占道经营违法行为的查处。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1.开展校园周边防火、用水、用电、饮食卫生、交通安全等方面的宣传教育活动；</w:t>
              <w:br/>
              <w:t>2.开展未成年人防溺水安全知识宣传，危险水域巡查、管控；</w:t>
              <w:br/>
              <w:t>3.配合落实校园周边安全治理相关措施。</w:t>
            </w:r>
          </w:p>
        </w:tc>
      </w:tr>
      <w:tr>
        <w:trPr>
          <w:trHeight w:val="658"/>
        </w:trPr>
        <w:tc>
          <w:tcPr>
            <w:tcW w:w="14045" w:type="dxa"/>
            <w:gridSpan w:val="5"/>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ascii="Times New Roman" w:eastAsia="方正公文仿宋" w:cs="Times New Roman" w:hAnsi="Times New Roman" w:hint="eastAsia"/>
                <w:color w:val="auto"/>
                <w:lang w:val="en-US" w:eastAsia="zh-CN"/>
              </w:rPr>
            </w:pPr>
            <w:r>
              <w:rPr>
                <w:rStyle w:val="25"/>
                <w:rFonts w:eastAsia="方正公文黑体" w:hAnsi="方正公文黑体" w:hint="eastAsia"/>
                <w:color w:val="auto"/>
                <w:lang w:val="en-US" w:eastAsia="zh-CN"/>
              </w:rPr>
              <w:t>三、乡村振兴（11项）</w:t>
            </w:r>
          </w:p>
        </w:tc>
      </w:tr>
      <w:tr>
        <w:trPr>
          <w:trHeight w:val="4632"/>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hint="eastAsia"/>
                <w:color w:val="auto"/>
                <w:lang w:val="en-US" w:eastAsia="zh-CN"/>
              </w:rPr>
              <w:t>11</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农产品质量安全监管</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县农业农村局</w:t>
              <w:br/>
              <w:t>县市场监督管理局</w:t>
              <w:br/>
              <w:t>县卫生健康局</w:t>
              <w:br/>
              <w:t>县工业信息化和商务局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县农业农村局：</w:t>
              <w:br/>
              <w:t>1.负责食用农产品从种植养殖环节到进入批发、零售市场或者生产加工企业前的质量安全监督管理；</w:t>
              <w:br/>
              <w:t>2.负责兽药、饲料添加剂、农药、肥料等其他农业投入品质量及使用的监督管理；</w:t>
              <w:br/>
              <w:t>3.负责动植物疫病防控、畜禽屠宰环节、生鲜乳收购环节质量安全监督管理。</w:t>
              <w:br/>
              <w:t>县委统战部（民宗局）、县市场监督管理局：负责全县食用农产品清真标识的监督管理工作。</w:t>
              <w:br/>
              <w:t>县卫生健康局、县农业农村局、县工业信息化和商务局：依照各自的工作职责，做好食用农产品食品监督管理工作。</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1.充分发挥乡农产品质量检测站作用，开展农产品产地检测；</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i w:val="0"/>
                <w:snapToGrid w:val="0"/>
                <w:color w:val="000000"/>
                <w:kern w:val="0"/>
                <w:sz w:val="21"/>
                <w:szCs w:val="21"/>
                <w:u w:val="none"/>
                <w:lang w:val="en-US" w:eastAsia="zh-CN"/>
              </w:rPr>
              <w:t>2.发生农产品质量安全事故时，应当及时处理并报上级有关部门。</w:t>
            </w:r>
          </w:p>
        </w:tc>
      </w:tr>
      <w:tr>
        <w:trPr>
          <w:trHeight w:val="5164"/>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hint="eastAsia"/>
                <w:color w:val="auto"/>
                <w:lang w:val="en-US" w:eastAsia="zh-CN"/>
              </w:rPr>
              <w:t>12</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重大动物疫情的封锁、控制、扑灭</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县农业农村局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1.重大动物疫情发生后，立即派专业人员到现场，划定疫点、疫区和受威胁区，调查疫源，向本级人民政府提出启动重大动物疫情应急指挥系统、应急预案和对疫区实行封锁的建议；</w:t>
              <w:br/>
              <w:t>2.设置临时动物检疫消毒站以及采取隔离、扑杀、销毁、消毒、紧急免疫接种等控制、扑灭措施；</w:t>
              <w:b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b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1.宣传动物疫病防治相关知识，加强日常巡查，发现异常情况及时上报；</w:t>
              <w:br/>
              <w:t>2.发生重大动物疫情时，协助做好疫情信息的收集工作；</w:t>
              <w:br/>
              <w:t>3.组织力量，协助做好疫情信息各项应急处理措施的落实工作。</w:t>
            </w:r>
          </w:p>
        </w:tc>
      </w:tr>
      <w:tr>
        <w:trPr>
          <w:trHeight w:val="1463"/>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13</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脱贫小额贷款风险防控</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县农业农村局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1.对乡镇上报贷款信息进行系统录入；</w:t>
              <w:br/>
              <w:t>2.每月对小额信贷贷款情况进行通报；</w:t>
              <w:br/>
              <w:t>3.对小额信贷风险进行防控，及时按照协议规定，在银行注入风险补偿金。</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1.宣传贷款政策；</w:t>
              <w:br/>
              <w:t>2.定期提醒农户按期还款付息。</w:t>
            </w:r>
          </w:p>
        </w:tc>
      </w:tr>
      <w:tr>
        <w:trPr>
          <w:trHeight w:val="1682"/>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hint="eastAsia"/>
                <w:color w:val="auto"/>
                <w:lang w:val="en-US" w:eastAsia="zh-CN"/>
              </w:rPr>
              <w:t>14</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对集体资产产权引起的争议的处理</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县农业农村局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1.指导村集体建立村集体资产管理台账，做好资产管理；</w:t>
              <w:br/>
              <w:t>2.对村集体资产定期开展审计、审查；</w:t>
              <w:br/>
              <w:t>3.对村集体资产产权引起的争议进行调处。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1.建立健全村集体资产管理制度；</w:t>
              <w:br/>
              <w:t>2.每年开展一次村集体“三资”清查；</w:t>
              <w:br/>
              <w:t>3.配合做好集体资产产权引起的争议的调处工作。</w:t>
            </w:r>
          </w:p>
        </w:tc>
      </w:tr>
      <w:tr>
        <w:trPr>
          <w:trHeight w:val="3059"/>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hint="eastAsia"/>
                <w:color w:val="auto"/>
                <w:lang w:val="en-US" w:eastAsia="zh-CN"/>
              </w:rPr>
              <w:t>15</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农作物病虫害防治</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县农业农村局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1.组织开展农作物病虫害监测并及时向上级部门报告监测信息，发布农作物病虫害预报；</w:t>
              <w:br/>
              <w:t>2.组织制定本行政区域农作物病虫害预防控制方案，健全农作物病虫害防治体系；</w:t>
              <w:br/>
              <w:t>3.为农业生产经营者提供技术培训、指导、服务，指导农业生产经营者选用抗病、抗虫品种等健康栽培管理措施预防病虫害；</w:t>
              <w:br/>
              <w:t>4.病虫害严重发生时，及时组织、指导有关单位和个人采取统防统治等控制措施。</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1.深入田间地头做好技术宣传培训，指导安全用药，加强“飞防”作业监管等；</w:t>
              <w:br/>
              <w:t>2.协助做好农作物病虫害监测预报工作，发现问题及时上报农业农村部门；</w:t>
              <w:br/>
              <w:t>3.配合农业农村部门落实“农作物重大病虫害防控”等防治项目，组织农户参与防治工作。</w:t>
            </w:r>
          </w:p>
        </w:tc>
      </w:tr>
      <w:tr>
        <w:trPr>
          <w:trHeight w:val="2177"/>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hint="eastAsia"/>
                <w:color w:val="auto"/>
                <w:lang w:val="en-US" w:eastAsia="zh-CN"/>
              </w:rPr>
              <w:t>16</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畜牧业、渔业生产监管</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县农业农村局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1.负责畜牧业、渔业生产发展技术的引进，饲草种植和利用技术及动物防疫新技术示范、推广服务工作；</w:t>
              <w:br/>
              <w:t>2.负责对畜禽饲养环境、种畜禽质量、畜禽交易与运输、畜禽屠宰以及饲料、饲料添加剂、兽药等投入品的生产、经营、使用的监督管理。</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1.开展畜牧业、渔业日常巡查，发现问题及时上报；</w:t>
              <w:br/>
              <w:t>2.配合指导养殖场（户）建立健全档案资料。</w:t>
            </w:r>
          </w:p>
        </w:tc>
      </w:tr>
      <w:tr>
        <w:trPr>
          <w:trHeight w:val="3167"/>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hint="eastAsia"/>
                <w:color w:val="auto"/>
                <w:lang w:val="en-US" w:eastAsia="zh-CN"/>
              </w:rPr>
              <w:t>17</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对农业生产领域安全生产检查监管</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县农业农村局</w:t>
              <w:br/>
              <w:t>县应急管理局</w:t>
              <w:br/>
              <w:t>县市场监督管理局</w:t>
              <w:br/>
              <w:t>县城乡建设和交通运输局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县农业农村局：牵头负责农业生产领域安全生产的监督管理，统筹各部门对各类安全生产隐患和违法行为进行查处。</w:t>
              <w:br/>
              <w:t>县应急管理局：按照职责对辖区内农业生产领域安全生产工作实施综合监督管理。</w:t>
              <w:br/>
              <w:t>县市场监督管理局：负责农业生产领域证照、特种设备的监督管理，对安全隐患和违法行为进行查处。</w:t>
              <w:br/>
              <w:t>县城乡建设和交通运输局：对农业生产领域建筑安全进行监督管理，对安全隐患和违法行为进行查处。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1.对本辖区大棚房等农业生产领域进行安全检查；</w:t>
              <w:br/>
              <w:t>2.发现安全生产隐患和违法行为，对具备处置能力的及时制止，责令限期整改；对拒不整改、存在重大安全隐患等情形的及时上报有关部门。</w:t>
            </w:r>
          </w:p>
        </w:tc>
      </w:tr>
      <w:tr>
        <w:trPr>
          <w:trHeight w:val="65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hint="eastAsia"/>
                <w:color w:val="auto"/>
                <w:lang w:val="en-US" w:eastAsia="zh-CN"/>
              </w:rPr>
              <w:t>18</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畜禽私屠滥宰的监督管理</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县农业农村局</w:t>
              <w:br/>
              <w:t>县市场监督管理局</w:t>
              <w:br/>
              <w:t>县公安局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县农业农村局：加强畜禽屠宰质量安全管理，抽查畜禽屠宰经营者是否违法经营，对私屠滥宰行为依法进行处理。</w:t>
              <w:br/>
              <w:t>县市场监督管理局：查处市场、餐饮环节销售或使用未经检疫肉类的行为。</w:t>
              <w:br/>
              <w:t>县公安局：对涉嫌犯罪的私屠滥宰行为（如非法经营、危害食品安全罪）追究刑事责任。</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配合相关部门开展巡查、线索摸排、违法现场保护等工作。</w:t>
            </w:r>
          </w:p>
        </w:tc>
      </w:tr>
      <w:tr>
        <w:trPr>
          <w:trHeight w:val="65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hint="eastAsia"/>
                <w:color w:val="auto"/>
                <w:lang w:val="en-US" w:eastAsia="zh-CN"/>
              </w:rPr>
              <w:t>19</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金融帮扶工作</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县农业农村局</w:t>
              <w:br/>
              <w:t>国家金融监管总局泾源分局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县农业农村局：</w:t>
              <w:br/>
              <w:t>1.积极推进金融帮扶工作，调查核实乡镇上报农户资格并审批备案；</w:t>
              <w:br/>
              <w:t>2.积极对接金融机构，落实金融帮扶政策。</w:t>
              <w:br/>
              <w:t>国家金融监管总局泾源分局：在业务范围内为乡村振兴提供信贷支持和其他金融服务。</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1.大力宣传金融帮扶政策，提高农户政策知晓率；</w:t>
              <w:br/>
              <w:t>2.对需要金融帮扶的农户进行资格审核；</w:t>
              <w:br/>
              <w:t>3.配合做好入户核查、公开公示、资金发放、逾期贷款收缴等工作。</w:t>
            </w:r>
          </w:p>
        </w:tc>
      </w:tr>
      <w:tr>
        <w:trPr>
          <w:trHeight w:val="65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hint="eastAsia"/>
                <w:color w:val="auto"/>
                <w:lang w:val="en-US" w:eastAsia="zh-CN"/>
              </w:rPr>
              <w:t>20</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农机安全生产监管</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县农业农村局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依法履行农机安全生产监管职责，按照职责对存在重大事故隐患的农业机械经营单位和个人加强监督管理。</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1.开展农机安全宣传；</w:t>
              <w:br/>
              <w:t>2.统计辖区农机驾驶员、车辆数量、证照等基本情况，统计农机作业、农机事故、农机报废更新等基本信息；</w:t>
              <w:br/>
              <w:t>3.配合开展农机检审验、农机安全联组规范化建设。</w:t>
            </w:r>
          </w:p>
        </w:tc>
      </w:tr>
      <w:tr>
        <w:trPr>
          <w:trHeight w:val="65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hint="eastAsia"/>
                <w:color w:val="auto"/>
                <w:lang w:val="en-US" w:eastAsia="zh-CN"/>
              </w:rPr>
              <w:t>21</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引导购买农业保险</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县财政局</w:t>
              <w:br/>
              <w:t>县农业农村局</w:t>
              <w:br/>
              <w:t>县林业和草原局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县财政局：制定政策性农业保险实施方案，统筹落实农户购买农业保险，按照相关规定予以补贴。</w:t>
              <w:br/>
              <w:t>县农业农村局：指导乡镇开展农业保险购买情况摸底，统计农业保险购买情况，核实成灾面积和农作物受灾程度，对接保险公司予以赔付。</w:t>
              <w:br/>
              <w:t>县林业和草原局：指导乡镇开展经果林农业保险购买情况摸底，统计经果林农业保险购买情况，核实成灾面积和经果林受灾程度，对接保险公司予以赔付。</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1.多渠道宣传农业保险的重要性，动员群众积极购买；</w:t>
              <w:br/>
              <w:t>2.发生灾情后，调查受灾面积和受灾程度并上报；</w:t>
              <w:br/>
              <w:t>3.协助做好农业保险赔付工作。</w:t>
            </w:r>
          </w:p>
        </w:tc>
      </w:tr>
      <w:tr>
        <w:trPr>
          <w:trHeight w:val="482"/>
        </w:trPr>
        <w:tc>
          <w:tcPr>
            <w:tcW w:w="14045" w:type="dxa"/>
            <w:gridSpan w:val="5"/>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ascii="Times New Roman" w:eastAsia="方正公文仿宋" w:cs="Times New Roman" w:hAnsi="Times New Roman" w:hint="eastAsia"/>
                <w:color w:val="auto"/>
                <w:lang w:val="en-US" w:eastAsia="zh-CN"/>
              </w:rPr>
            </w:pPr>
            <w:r>
              <w:rPr>
                <w:rStyle w:val="25"/>
                <w:rFonts w:ascii="Times New Roman" w:eastAsia="方正公文黑体" w:cs="Times New Roman" w:hAnsi="Times New Roman" w:hint="eastAsia"/>
                <w:b w:val="0"/>
                <w:bCs w:val="0"/>
                <w:color w:val="auto"/>
                <w:lang w:val="en-US" w:eastAsia="zh-CN"/>
              </w:rPr>
              <w:t>四、自然资源（14项）</w:t>
            </w:r>
          </w:p>
        </w:tc>
      </w:tr>
      <w:tr>
        <w:trPr>
          <w:trHeight w:val="90"/>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hint="eastAsia"/>
                <w:color w:val="auto"/>
                <w:lang w:val="en-US" w:eastAsia="zh-CN"/>
              </w:rPr>
              <w:t>22</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古树名木的保护</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县林业和草原局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1.对古树名木进行确定、登记、挂牌，发布古树名录；</w:t>
              <w:br/>
              <w:t>2.组织专业技术力量对濒危古树名木开展抢救复壮；</w:t>
              <w:br/>
              <w:t>3.对损坏古树名木的情况进行打击处理。</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1.协助开展古树名木保护宣传活动；</w:t>
              <w:br/>
              <w:t>2.组织护林员开展日常巡查，发现攀树、折枝、剥损树皮等情况及时制止，情况严重的及时上报。</w:t>
            </w:r>
          </w:p>
        </w:tc>
      </w:tr>
      <w:tr>
        <w:trPr>
          <w:trHeight w:val="577"/>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23</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对盗伐、滥伐林木行为的监督管理</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县林业和草原局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负责对乡镇上报的违法线索开展调查，并对违法线索进行审查核实，对违法行为进行查处。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1.开展盗伐、滥伐林木日常巡查；</w:t>
              <w:br/>
              <w:t>2.发现违法违规行为及时报告县林业和草原局进行处理。</w:t>
            </w:r>
          </w:p>
        </w:tc>
      </w:tr>
      <w:tr>
        <w:trPr>
          <w:trHeight w:val="1047"/>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24</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对自然资源卫片监测发现违法行为的监管执法</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县自然资源局</w:t>
              <w:br/>
              <w:t>县林业和草原局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县自然资源局、县林业和草原局：收到上级卫片图斑信息后，对卫片图斑进行对比甄别、实地查看、系统核实认定，判定是否违法，确定违法建设名单，连同相关资料移交相关执法机构依法查处。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配合自然资源部门和林业和草原局对卫片信息进行实地核查，协助相关执法部门对违法者下达限期整改通知书，对逾期未整改到位的配合做好执法工作。</w:t>
            </w:r>
          </w:p>
        </w:tc>
      </w:tr>
      <w:tr>
        <w:trPr>
          <w:trHeight w:val="1436"/>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25</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违法违规占用耕地和基本农田问题发现、核实、整改</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县自然资源局</w:t>
              <w:br/>
              <w:t>县农业农村局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县自然资源局：负责非农化问题整改。</w:t>
              <w:br/>
              <w:t>县农业农村局：负责非粮化问题整改。</w:t>
              <w:br/>
              <w:t>1.对耕地和基本农田图斑进行核实，确认违法行为；</w:t>
              <w:br/>
              <w:t>2.按时将耕地和基本农田图斑反馈各乡镇，指导督促各乡镇对反馈图斑问题进行现场核实整改，核查上传图斑举证情况；</w:t>
              <w:br/>
              <w:t>3.现场核查各乡镇耕地和基本农田图斑整改情况。</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1.配合核实年度新增设施农用地图斑；</w:t>
              <w:br/>
              <w:t>2.配合处置耕地违法占地、用地图斑；</w:t>
              <w:br/>
              <w:t>3.配合排查违法违规破坏耕地问题；</w:t>
              <w:br/>
              <w:t>4.配合核实年度变更调查耕地流出问题；</w:t>
              <w:br/>
              <w:t>5.配合落实耕地保护督查反馈问题整改；</w:t>
              <w:br/>
              <w:t>6.配合开展遥感监测暨卫片耕地执法。</w:t>
            </w:r>
          </w:p>
        </w:tc>
      </w:tr>
      <w:tr>
        <w:trPr>
          <w:trHeight w:val="1952"/>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26</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农户私自开垦、占用村集体土地等行为的监管执法</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县自然资源局</w:t>
              <w:br/>
              <w:t>县林业和草原局</w:t>
              <w:br/>
              <w:t>县农业农村局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县自然资源局：负责对辖区内耕地利用情况开展摸底排查，对发现或接到举报的非法占用、破坏耕地的行为依法查处。</w:t>
              <w:br/>
              <w:t>县林业和草原局：负责对非法破坏林地的行为依法查处。</w:t>
              <w:br/>
              <w:t>县农业农村局：负责对非法占用村集体土地建住宅的行为依法进行查处。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1.做好土地政策宣传，开展巡查，发现土地违法问题及时上报；</w:t>
              <w:br/>
              <w:t>2.协助做好现场认定、处置工作。</w:t>
            </w:r>
          </w:p>
        </w:tc>
      </w:tr>
      <w:tr>
        <w:trPr>
          <w:trHeight w:val="1069"/>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27</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对非法采砂的监督管理</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县水务局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负责辖区河道采砂的监管工作，对发现的非法采砂行为进行审查认定，并依法查处。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做好日常巡查，发现违法采砂行为及时上报，协助执法与调查取证，开展群众宣传教育。</w:t>
            </w:r>
          </w:p>
        </w:tc>
      </w:tr>
      <w:tr>
        <w:trPr>
          <w:trHeight w:val="993"/>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28</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森林、草原资源监管</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县林业和草原局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1.宣传林草资源保护相关法律法规；</w:t>
              <w:br/>
              <w:t xml:space="preserve">2.通过林地草原巡查、各级林长报告、群众反映、护林员上报等方式，发现林草资源破坏、林地退化、草原荒漠化等情况，及时规划生态修复项目；           </w:t>
              <w:br/>
              <w:t>3.配合上级林业和草原部门做好林草湿资源检查检测；</w:t>
              <w:br/>
              <w:t>4.主管本行政区域内草原监督管理工作；</w:t>
              <w:br/>
              <w:t>5.根据上一级草原保护、建设、利用规划编制本行政区域的草原保护、建设、利用规划，报本级人民政府批准后实施。</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1.宣传林草资源保护相关法律法规；</w:t>
              <w:br/>
              <w:t>2.发现林草资源破坏、林地退化、草原荒漠化等情况，上报县林业和草原局，及时规划生态修复项目；</w:t>
              <w:br/>
              <w:t>3.做好护林员的管理；</w:t>
              <w:br/>
              <w:t>4.对本辖区林地、草原资源现状情况开展调查，巡查监测毁林毁草情况，排查土地荒漠化、天然保护林保存情况、公益林保存情况、退耕还林（还草）地保存情况。</w:t>
            </w:r>
          </w:p>
        </w:tc>
      </w:tr>
      <w:tr>
        <w:trPr>
          <w:trHeight w:val="1766"/>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29</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林地（草原）、湿地征占用审核审批及监管工作</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县林业和草原局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1.负责林地、湿地征占用、现场查勘、资料审核、审批，对项目实施占用情况进行监督管理；</w:t>
              <w:br/>
              <w:t>2.加强日常监管，对发现或接到上报的未按照审核审批面积使用林地、湿地等问题及时进行核查处理。</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1.对林地、湿地征占用现场查勘、补偿协商等，对项目实施占用情况进行巡查；</w:t>
              <w:br/>
              <w:t>2.对巡查发现的问题及时上报，做好执法相关现场确认等工作。</w:t>
            </w:r>
          </w:p>
        </w:tc>
      </w:tr>
      <w:tr>
        <w:trPr>
          <w:trHeight w:val="1614"/>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30</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对禁牧期和禁牧区域放牧或者休牧期、轮牧区抢牧、滥牧的排查处置</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县林业草原局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1.负责本行政区域内禁牧、轮牧、休牧的监督管理工作；</w:t>
              <w:br/>
              <w:t>2.划定禁牧区、轮牧区、休牧区；</w:t>
              <w:br/>
              <w:t>3.建立巡查制度，对违规放牧行为进行查处；</w:t>
              <w:br/>
              <w:t>4.对禁牧、轮牧、休牧区域林地、草地生态植被恢复情况进行动态监测和评估。</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 xml:space="preserve">1.通过多种方式宣传禁牧、轮牧、休牧相关法律法规和政策；                                </w:t>
              <w:br/>
              <w:t>2.加强对禁牧区域、休牧期、轮牧区的日常巡查，及时发现并制止抢牧、滥牧等违规行为。</w:t>
            </w:r>
          </w:p>
        </w:tc>
      </w:tr>
      <w:tr>
        <w:trPr>
          <w:trHeight w:val="2051"/>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31</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撂荒耕地复垦</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县农业农村局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1.负责做好组织动员、督促指导、进度调度、联络协调、核查验收等。</w:t>
              <w:br/>
              <w:t>2.审核汇总撂荒耕地台账，总结评估撂荒耕地摸底情况；</w:t>
              <w:br/>
              <w:t>3.负责制定撂荒耕地调查摸底工作方案，确定需要复耕复种地块，明确复耕要求，开展培训指导，指导乡镇开展撂荒耕地实地核查工作；</w:t>
              <w:br/>
              <w:t>4.指导乡镇进行复耕复种，对乡镇提交的不存在撂荒情况的图斑，以及存在撂荒情况已复耕复种或者不具备复耕复种条件的图斑，组织审批销号。</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1.宣传撂荒耕地复垦政策；</w:t>
              <w:br/>
              <w:t>2.配合全面摸清耕地撂荒底数，查清撂荒原因，建立排查台账并上报；</w:t>
              <w:br/>
              <w:t>3.依据撂荒耕地复耕复种有关政策，鼓励有劳动能力的农户自行复耕，引导农户盘活撂荒土地资源，助力农业产业发展。</w:t>
            </w:r>
          </w:p>
        </w:tc>
      </w:tr>
      <w:tr>
        <w:trPr>
          <w:trHeight w:val="813"/>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32</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对木材加工行业的监管</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县林业和草原局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负责查处违法违规经营行为，对非法经营（含加工）木材的行为进行处罚。</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1.开展木材加工日常巡查；</w:t>
              <w:br/>
              <w:t>2.发现违法违规行为及时报告林业草原局进行处理。</w:t>
            </w:r>
          </w:p>
        </w:tc>
      </w:tr>
      <w:tr>
        <w:trPr>
          <w:trHeight w:val="2290"/>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33</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落实耕地占补平衡</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县自然资源局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1.认真落实耕地占补平衡，科学储备补充耕地指标；</w:t>
              <w:br/>
              <w:t>2.依据项目用地需求，审核是否符合耕地占补平衡要求，对需要落实耕地占补平衡的，对接乡镇落实指标，并督促落实项目占用耕地先补后占原则；</w:t>
              <w:br/>
              <w:t>3.指导乡镇实施全域土地综合整治、补充耕地等新增耕地项目，将项目实施后新增耕地及时报自治区、验收后纳入占补平衡库管理。</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配合做好耕地占补平衡项目实施工作。</w:t>
            </w:r>
          </w:p>
        </w:tc>
      </w:tr>
      <w:tr>
        <w:trPr>
          <w:trHeight w:val="100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34</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对占用林地、草地卫片图斑核查处置</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县林业和草原局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依法对违法占用林地、草地的行为进行查处。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协调督促相关责任人整改违法图斑问题。</w:t>
            </w:r>
          </w:p>
        </w:tc>
      </w:tr>
      <w:tr>
        <w:trPr>
          <w:trHeight w:val="65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35</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绿化带养护</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县城乡建设和交通运输局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开展背街小巷绿化带防灭火、病虫害防治、树木修剪、补植、绿地补水等工作。</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1.开展常态化巡查；</w:t>
              <w:br/>
              <w:t>2.发现问题及时上报主管部门。</w:t>
            </w:r>
          </w:p>
        </w:tc>
      </w:tr>
      <w:tr>
        <w:trPr>
          <w:trHeight w:val="482"/>
        </w:trPr>
        <w:tc>
          <w:tcPr>
            <w:tcW w:w="14045" w:type="dxa"/>
            <w:gridSpan w:val="5"/>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Style w:val="25"/>
                <w:rFonts w:ascii="Times New Roman" w:eastAsia="方正公文黑体" w:cs="Times New Roman" w:hAnsi="Times New Roman" w:hint="eastAsia"/>
                <w:b w:val="0"/>
                <w:bCs w:val="0"/>
                <w:color w:val="auto"/>
                <w:lang w:val="en-US" w:eastAsia="zh-CN"/>
              </w:rPr>
              <w:t>五、生态环保（19项）</w:t>
            </w:r>
          </w:p>
        </w:tc>
      </w:tr>
      <w:tr>
        <w:trPr>
          <w:trHeight w:val="90"/>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hint="eastAsia"/>
                <w:color w:val="auto"/>
                <w:lang w:val="en-US" w:eastAsia="zh-CN"/>
              </w:rPr>
              <w:t>36</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危废、固废源头管理和排查整治</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固原市生态环境局泾源分局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br/>
              <w:t>2.制定工业固体废物污染环境防治工作规划，组织建设工业固体废物集中处置等设施，推动工业固体废物污染环境防治工作；</w:t>
              <w:br/>
              <w:t>3.在职责范围内加强对医疗废物收集、贮存、运输、处置的监督管理，防止危害公众健康、污染环境。</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1.配合生态环境分局对辖区涉危废、固废随意倾倒、处置行为进行全面排查；</w:t>
              <w:br/>
              <w:t>2.配合生态环境分局对辖区内的危废、固废问题进行整改；</w:t>
              <w:br/>
              <w:t>3.督促辖区存在危废、固废问题的企业按时完成整改。</w:t>
            </w:r>
          </w:p>
        </w:tc>
      </w:tr>
      <w:tr>
        <w:trPr>
          <w:trHeight w:val="2023"/>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37</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河流流域水污染治理</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固原市生态环境局泾源分局</w:t>
              <w:br/>
              <w:t>县水务局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固原市生态环境局泾源分局：对涉水企业实施环境执法，配合上级主管部门开展辖区内河流流域的水样监测。</w:t>
              <w:br/>
              <w:t>县水务局：做好河流及排水沟管理和保护工作，对检查发现的违法违规行为依法进行查处，并督促整改落实。</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1.对水环境保护相关政策进行宣传；</w:t>
              <w:br/>
              <w:t>2.对辖区内河流流域开展日常巡查；</w:t>
              <w:br/>
              <w:t>3.发现问题及时上报有关部门；</w:t>
              <w:br/>
              <w:t>4.配合相关部门做好问题整治。</w:t>
            </w:r>
          </w:p>
        </w:tc>
      </w:tr>
      <w:tr>
        <w:trPr>
          <w:trHeight w:val="2739"/>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38</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大气污染防治与重污染天气应急处置</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固原市生态环境局泾源分局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1.负责组织编制重污染天气应急预案，建立重污染天气应急减排清单，组织指导工业企业编制重污染天气应急操作方案并审核把关；</w:t>
              <w:br/>
              <w:t>2.组织工信、住建、自然资源、农业农村、市场监管、交通运输、公安等部门按照职责分工做好重污染天气应对工作；</w:t>
              <w:br/>
              <w:t>3.负责发现重点排污单位的大气污染物排放自动监测设备传输数据异常，及时进行调查。</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1.对预警期间辖区内工业企业等单位落实重污染天气应急响应措施情况进行排查，监督企业是否存在偷排现象；</w:t>
              <w:br/>
              <w:t>2.做好烟尘、扬尘、煤尘管控，对辖区裸露土地洒水降尘，引导群众采用清洁取暖；</w:t>
              <w:br/>
              <w:t>3.发现问题立即制止并及时上报；</w:t>
              <w:br/>
              <w:t>4.配合调查处理大气污染环境违法行为。</w:t>
            </w:r>
          </w:p>
        </w:tc>
      </w:tr>
      <w:tr>
        <w:trPr>
          <w:trHeight w:val="663"/>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39</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环保设施运行监管执法</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固原市生态环境局泾源分局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负责对排污者或污染治理运营单位的污染防治环保设施运行情况进行监督检查，对故意不正常使用或擅自拆除、闲置的依法查处。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对辖区内各类生态环境保护设施开展日常巡查并做好记录，对发现的环保设施运行管理问题按规定时限上报生态环境部门处理。</w:t>
            </w:r>
          </w:p>
        </w:tc>
      </w:tr>
      <w:tr>
        <w:trPr>
          <w:trHeight w:val="65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40</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道路移动污染源监测和防控治理</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固原市生态环境局泾源分局</w:t>
              <w:br/>
              <w:t>县城乡建设和交通运输局</w:t>
              <w:br/>
              <w:t>县公安局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固原市生态环境局泾源分局、县城乡建设和交通运输局、县公安局：按照职责分工负责道路移动污染源排放的监测及防控治理工作，建立联合监管常态化机制，对道路移动源尾气进行抽检，对违法违规行为依法予以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1.做好政策宣传，对辖区内道路移动污染源开展巡查并做好记录；</w:t>
              <w:br/>
              <w:t>2.对发现违法违规问题线索及时上报有关部门，配合做好联合治理相关工作。</w:t>
            </w:r>
          </w:p>
        </w:tc>
      </w:tr>
      <w:tr>
        <w:trPr>
          <w:trHeight w:val="65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41</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扬尘综合治理</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固原市生态环境局泾源分局</w:t>
              <w:br/>
              <w:t>县城乡建设和交通运输局</w:t>
              <w:br/>
              <w:t>县自然资源局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固原市生态环境局泾源分局、县城乡建设和交通运输、县自然资源等部门：按照职责分工，负责工业企业、建筑工地、矿山、道路运输等行业领域扬尘日常监管和综合治理，监督相关行业领域相关单位落实扬尘防治措施，对违法违规行为进行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统筹网格监管力量，对辖区内扬尘源头情况开展日常巡查，配合部门监督建筑工地、道路运输、矿山开采等相关单位落实扬尘防治措施，发现违法违规行为按规定时限上报有关部门，协助做好扬尘治理整改落实相关工作。</w:t>
            </w:r>
          </w:p>
        </w:tc>
      </w:tr>
      <w:tr>
        <w:trPr>
          <w:trHeight w:val="65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42</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VOCs污染深度治理</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固原市生态环境局泾源分局</w:t>
              <w:br/>
              <w:t>县城乡建设和交通运输局</w:t>
              <w:br/>
              <w:t>县农业农村局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固原市生态环境局泾源分局、县城乡建设和交通运输、县农业农村等部门：按照职责分工牵头开展摸底调查，持续推进化工行业、涂装行业、机动车、农业农村生活源VOCs治理，制定源头消减、过程控制、末端治理全过程防控计划与方案并组织实施。</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1.配合部门对辖区内重点区域、重点行业VOCs排放情况开展巡查并做好记录；</w:t>
              <w:br/>
              <w:t>2.对发现的疑似问题和隐患线索，按规定时限上报有关部门处理。</w:t>
            </w:r>
          </w:p>
        </w:tc>
      </w:tr>
      <w:tr>
        <w:trPr>
          <w:trHeight w:val="866"/>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43</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突发环境污染事件应急处置</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固原市生态环境局泾源分局</w:t>
              <w:br/>
              <w:t>县应急管理局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负责制定突发环境事件应急预案，明确组织指挥机制、信息报告、应急处置措施等内容，并在发生突发环境事件时立即启动应急响应。</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1.发现突发环境事件后，及时上报，并根据应急预案积极响应；</w:t>
              <w:br/>
              <w:t>2.做好突发环境污染事件的先期处置工作。</w:t>
            </w:r>
          </w:p>
        </w:tc>
      </w:tr>
      <w:tr>
        <w:trPr>
          <w:trHeight w:val="1846"/>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44</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规模养殖户（场）、企业粪污处理及资源化利用</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县农业农村局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1.对规模养殖场畜禽粪污资源化利用开展检查和指导，对规模养殖场粪污处理设施运行情况进行日常监管；</w:t>
              <w:br/>
              <w:t>2.组织养殖户和企业实施粪污处理和资源化利用项目，通过项目支持提高粪污处理水平和能力；</w:t>
              <w:br/>
              <w:t>3.检查粪污处理措施落实情况。</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1.宣传粪污处理及资源化利用相关政策；</w:t>
              <w:br/>
              <w:t>2.配合农业农村部门督促养殖户和企业实施粪污处理和资源化利用项目；</w:t>
              <w:br/>
              <w:t>3.对粪污处理及台账记录情况进行检查；</w:t>
              <w:br/>
              <w:t>4.对检查发现的问题及时上报。</w:t>
            </w:r>
          </w:p>
        </w:tc>
      </w:tr>
      <w:tr>
        <w:trPr>
          <w:trHeight w:val="2193"/>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45</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对工业噪声、建筑施工噪声、社会生活、交通运输噪声污染的监管执法</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固原市生态环境局泾源分局</w:t>
              <w:br/>
              <w:t>县公安局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固原市生态环境局泾源分局：建立协调机制，按照职责分工对工业噪声污染、建筑施工噪声污染、交通运输噪声污染、社会生活噪声污染的行为进行认定。</w:t>
              <w:br/>
              <w:t>县公安局：对属于噪音污染扰民的违法违规行为，区分情况依法予以查处。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1.发现或收到群众举报噪音扰民问题及时劝告制止；</w:t>
              <w:br/>
              <w:t>2.经劝告制止无效的上报生态环境、公安等主管部门；</w:t>
              <w:br/>
              <w:t>3.配合做好相关执法工作，开展群众走访、现场确认等。</w:t>
            </w:r>
          </w:p>
        </w:tc>
      </w:tr>
      <w:tr>
        <w:trPr>
          <w:trHeight w:val="2263"/>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46</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做好水土保持相关工作</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县水务局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1.负责辖区内水土保持工作的监督检查、水土保持方案审批等行政执法工作；</w:t>
              <w:br/>
              <w:t>2.开展水土流失综合治理工作；</w:t>
              <w:br/>
              <w:t>3.配合税务部门催缴水土保持补偿费。</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1.加强水土保持宣传和教育工作，普及水土保持科学知识，增强公众的水土保持意识；</w:t>
              <w:br/>
              <w:t>2.配合水务部门督促本辖区内实施的建设项目编制水土保持方案，对辖区内造成水土流失的行为进行监督；</w:t>
              <w:br/>
              <w:t>3.协助完成本辖区内水土流失综合治理，推行“山水林田”统一规划、“梁峁沟坡塬”一体整治模式，实施沟道、山林等治理。</w:t>
            </w:r>
          </w:p>
        </w:tc>
      </w:tr>
      <w:tr>
        <w:trPr>
          <w:trHeight w:val="2433"/>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47</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河道“四乱”问题整治</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县水务局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1.组织开展河流管理保护监督管理，不断完善河流保护综合执法体系建设，强化河长制监管能力和水平；</w:t>
              <w:br/>
              <w:t>2.加大违法违规行为的打击力度，开展河流管理保护突出问题专项整治，严厉打击涉河违法行为，清理整治非法排污、设障、捕捞、养殖、采砂、采矿、围垦、侵占水域岸线等活动。</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1.发现河道乱占、乱采、乱堆、乱建等问题及时上报；</w:t>
              <w:br/>
              <w:t>2.协助水务部门开展涉河违法取证工作；</w:t>
              <w:br/>
              <w:t>3.配合做好协调清退、拆除等工作。</w:t>
            </w:r>
          </w:p>
        </w:tc>
      </w:tr>
      <w:tr>
        <w:trPr>
          <w:trHeight w:val="65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48</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河道违法图斑核查及整改</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县水务局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1.对辖区内的河道进行定期不定期检查；</w:t>
              <w:br/>
              <w:t>2.对存在河道四乱问题进行督查通报；</w:t>
              <w:br/>
              <w:t>3.对违法行为进行查处。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1.接受上级传达的违法图斑信息；</w:t>
              <w:br/>
              <w:t>2.根据经纬度坐标实地考察；</w:t>
              <w:br/>
              <w:t>3.与当事人联系对违法图斑进行整改，对拒不整改的报上级水务部门。</w:t>
            </w:r>
          </w:p>
        </w:tc>
      </w:tr>
      <w:tr>
        <w:trPr>
          <w:trHeight w:val="65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49</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生态安全重点部位检查</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固原市生态环境局泾源分局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1.加强对乡镇生态环保方面的指导、培训；</w:t>
              <w:br/>
              <w:t>2.对乡镇上报的问题隐患、线索等情况及时核实，组织各相关主管部门进行查处，并督促整改落实。</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1.宣传普及环境保护知识，提高企业和公众的环保意识；</w:t>
              <w:br/>
              <w:t>2.对辖区内易产生污染的场所进行定期检查，确保环保设施正常运行；</w:t>
              <w:br/>
              <w:t>3.对检查中发现的问题进行分类汇总，建立问题台账，并及时上报生态环境分局；</w:t>
              <w:br/>
              <w:t>4.协助各部门开展调查和处理工作。</w:t>
            </w:r>
          </w:p>
        </w:tc>
      </w:tr>
      <w:tr>
        <w:trPr>
          <w:trHeight w:val="1326"/>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50</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对生活污水、化粪池安全检查及违法行为的整治</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固原市生态环境局泾源分局</w:t>
              <w:br/>
              <w:t>县城乡建设和交通运输局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固原市生态环境局泾源分局：负责环保监管和水质监测。</w:t>
              <w:br/>
              <w:t>县城乡建设和交通运输局：督促物管小区的物业企业对小区化粪池安全问题开展巡查，发现问题及时处置。</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协助对生活污水、化粪池开展安全巡查检查。</w:t>
            </w:r>
          </w:p>
        </w:tc>
      </w:tr>
      <w:tr>
        <w:trPr>
          <w:trHeight w:val="4203"/>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51</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生态公益林管护</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县林业和草原局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1.设置管护标识，限制人员和牲畜随意进入，减少人为干扰和破坏；</w:t>
              <w:br/>
              <w:t>2.安排专人定期巡护，及时发现并处理火灾隐患、盗伐、病虫害等问题，同时对森林资源状况进行监测；</w:t>
              <w:br/>
              <w:t>3.对林分稀疏或受损区域进行合理的补植，增加森林覆盖率和生态功能；</w:t>
              <w:br/>
              <w:t>4.适时进行抚育间伐、修枝整形等，促进林木生长，提高林分质量；</w:t>
              <w:br/>
              <w:t>5.开展相关科研项目，探索更好的管护方法和技术，同时加强公众的生态教育，增强保护意识；</w:t>
              <w:br/>
              <w:t>6.定期对生态公益林资源进行调查统计，建立完善档案资料，为科学管理提供依据；</w:t>
              <w:br/>
              <w:t>7.加强与相关执法部门合作，严厉打击破坏生态公益林的违法违规行为。</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配合对辖区内公益林进行日常巡护，发现违法违规行为及时制止并上报。</w:t>
            </w:r>
          </w:p>
        </w:tc>
      </w:tr>
      <w:tr>
        <w:trPr>
          <w:trHeight w:val="90"/>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52</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“散乱污”企业治理</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县工业信息化和商务局</w:t>
              <w:br/>
              <w:t>固原市生态环境局泾源分局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县工业信息化和商务局：</w:t>
              <w:br/>
              <w:t>1.落实长效监管机制，持续开展“回头看”，巩固“散乱污”企业清零成效，坚决杜绝“散乱污”企业死灰复燃，确保“散乱污”企业整治动态清零；</w:t>
              <w:br/>
              <w:t>2.持续开展辖区内“散乱污”企业排查工作，在摸排中发现的新增“散乱污”企业，严格按照整治标准开展治理工作。</w:t>
              <w:br/>
              <w:t>固原市生态环境局泾源分局：</w:t>
              <w:br/>
              <w:t>1.查处企业超标排放、偷排漏排、未批先建等环境违法行为；</w:t>
              <w:br/>
              <w:t>2.对不符合环保要求的企业责令整改或关停；</w:t>
              <w:br/>
              <w:t>3.监督企业落实污染治理设施升级改造。</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1.配合相关部门对辖区“散乱污”企业进行排查；</w:t>
              <w:br/>
              <w:t>2.配合相关部门对辖区内“散乱污”企业问题进行整改。</w:t>
            </w:r>
          </w:p>
        </w:tc>
      </w:tr>
      <w:tr>
        <w:trPr>
          <w:trHeight w:val="169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53</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噪音污染综合整治</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固原市生态环境局泾源分局</w:t>
              <w:br/>
              <w:t>县公安局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固原市生态环境局泾源分局：对群众反映的噪音扰民问题进行督导整改，对违法行为依法进行立案查处。</w:t>
              <w:br/>
              <w:t>县公安局：在城区噪声敏感建筑物集中区域内使用高音广播喇叭或者违反当地公安机关的规定，在城区街道、广场、公园等公共场所组织娱乐、集会等活动，使用音响器材，产生干扰周围生活环境的过大音量的由公安机关进行立案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对违法行为人进行批评教育、责令限期改正，对拒不整改的及时向上级部门报告。</w:t>
            </w:r>
          </w:p>
        </w:tc>
      </w:tr>
      <w:tr>
        <w:trPr>
          <w:trHeight w:val="2324"/>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54</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餐饮服务业环境污染防治</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固原市生态环境局泾源分局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1.负责本辖区的餐饮服务业环境污染防治监督管理；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2.对污染源及生态环境污染行为进行执法监督管理；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3.对违法行为监督管理，发现违法行为予以查处。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1.开展餐饮服务业环境污染防治相关政策宣传；</w:t>
              <w:br/>
              <w:t>2.督促餐饮企业复装、使用、维护油烟净优设备；</w:t>
              <w:br/>
              <w:t>3.对拒不整改的经营单位上报主管部门。</w:t>
            </w:r>
          </w:p>
        </w:tc>
      </w:tr>
      <w:tr>
        <w:trPr>
          <w:trHeight w:val="658"/>
        </w:trPr>
        <w:tc>
          <w:tcPr>
            <w:tcW w:w="14045" w:type="dxa"/>
            <w:gridSpan w:val="5"/>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ascii="Times New Roman" w:eastAsia="方正公文仿宋" w:cs="Times New Roman" w:hAnsi="Times New Roman" w:hint="eastAsia"/>
                <w:snapToGrid w:val="0"/>
                <w:color w:val="auto"/>
                <w:kern w:val="0"/>
                <w:sz w:val="21"/>
                <w:szCs w:val="21"/>
                <w:lang w:val="en-US" w:eastAsia="zh-CN"/>
              </w:rPr>
            </w:pPr>
            <w:r>
              <w:rPr>
                <w:rStyle w:val="25"/>
                <w:rFonts w:eastAsia="方正公文黑体" w:hAnsi="方正公文黑体" w:hint="eastAsia"/>
                <w:color w:val="auto"/>
                <w:lang w:val="en-US" w:eastAsia="zh-CN"/>
              </w:rPr>
              <w:t>六、城乡建设（17项）</w:t>
            </w:r>
          </w:p>
        </w:tc>
      </w:tr>
      <w:tr>
        <w:trPr>
          <w:trHeight w:val="7770"/>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hint="eastAsia"/>
                <w:color w:val="auto"/>
                <w:lang w:val="en-US" w:eastAsia="zh-CN"/>
              </w:rPr>
              <w:t>55</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燃气安全监管（含聚能环排查、黑气罐及无码罐回收）</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县城乡建设和交通运输局</w:t>
              <w:br/>
              <w:t>县市场监督管理局</w:t>
              <w:br/>
              <w:t>县应急管理局</w:t>
              <w:br/>
              <w:t>县工业信息化和商务局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县城乡建设和交通运输局：</w:t>
              <w:br/>
              <w:t>1.牵头负责燃气领域安全生产监督管理，统筹各行业部门开展各自行业领域燃气安全隐患排查整治工作，对各类燃气安全隐患和违法行为进行查处；</w:t>
              <w:br/>
              <w:t>2.督促燃气经营企业落实燃气设施定期巡检维护、入户安检等安全生产职责；</w:t>
              <w:br/>
              <w:t>3.依法查处未取得燃气经营许可证从事生产经营活动的行为，落实燃气安全设施定期检查制度。</w:t>
              <w:br/>
              <w:t>县市场监督管理局：</w:t>
              <w:br/>
              <w:t>1.负责燃气充装、检验检测机构的监督管理，监督燃气充装单位对气瓶进行定期检验和报废处理；</w:t>
              <w:br/>
              <w:t>2.负责城镇燃气领域特种设备安全监管；</w:t>
              <w:br/>
              <w:t>3.负责生产、销售环节燃气燃烧器具和燃气相关产品质量监管，依法查处制售假冒伪劣产品的违法行为；</w:t>
              <w:br/>
              <w:t>4.依法处理操纵燃气市场价格、垄断、不正当竞争等扰乱市场秩序的行为。</w:t>
              <w:br/>
              <w:t>县应急管理局：依法对液化石油气、液化天然气生产企业实施安全监管，对不具备安全生产条件的生产企业依法查处。</w:t>
              <w:br/>
              <w:t>县工业信息化和商务局：负责督促使用瓶装液化气的餐饮经营单位加强安全管理，督促餐饮经营主体规范安装和使用可燃气体报警装置、切断装置和连接管，加强对餐饮经营企业主要负责人的培训。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1.协调村民委员会配合燃气经营企业进行入户安全检查；</w:t>
              <w:br/>
              <w:t>2.积极发挥网格化治理机制在燃气安全事故预防中的作用，发现疑似燃气安全事故隐患及时提醒燃气经营企业或者燃气用户，并向燃气管理部门报告。</w:t>
            </w:r>
          </w:p>
        </w:tc>
      </w:tr>
      <w:tr>
        <w:trPr>
          <w:trHeight w:val="2681"/>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56</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农村房屋建设管理（含农村低收入群体危房和抗震房改造）</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县城乡建设和交通运输局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1.负责指导农房建设管理，负责农房（抗震房）设计图集编制推广、指导建设质量安全管理、指导隐患排查整治、开展乡村建设工匠管理等工作；</w:t>
              <w:br/>
              <w:t>2.负责农村低收入群体危房和抗震房改造的方案制定、组织实施、过程管理、资金拨付。</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1.负责辖区内农房规划建设使用管理工作，包括乡村建设规划许可、宅基地审批、建设工程监管、使用过程管控、违法违规行为核查上报处置以及安全隐患排查整治和房屋安全宣传等工作；</w:t>
              <w:br/>
              <w:t>2.组织开展农村危房改造、农房抗震改造的排查上报、申请公示、资料审核、系统录入等工作；</w:t>
              <w:br/>
              <w:t>3.指导所辖村将农房建设行为规范纳入村规民约，做好农房建设质量安全管理工作。</w:t>
            </w:r>
          </w:p>
        </w:tc>
      </w:tr>
      <w:tr>
        <w:trPr>
          <w:trHeight w:val="3887"/>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57</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汛期公路基础设施安全管理工作</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县城乡建设和交通运输局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1.负责在汛期前进行公路基础设施的全面安全检查，包括桥梁、隧道、边坡、挡土墙、桥涵、排水设施等，对于发现的隐患，如桥梁基础冲刷、边坡滑塌等，需要及时进行修复和加固；</w:t>
              <w:br/>
              <w:t>2.制定和完善应急预案，落实应急值班值守，优化应急抢险救灾力量布局。在汛期，需要保障重点物资运输畅通有序，及时有效应对突发事件。</w:t>
              <w:b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1.对重大风险点排查，对确定的风险点建立风险台账；</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2.监视雨情、汛情发展变化趋势，按要求及时发布公路预警信息；</w:t>
              <w:br/>
              <w:t>3.协助相关部门做好“小雨关注、中雨巡查、大雨值守、暴雨管控”、积水处置等工作。</w:t>
            </w:r>
          </w:p>
        </w:tc>
      </w:tr>
      <w:tr>
        <w:trPr>
          <w:trHeight w:val="1636"/>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58</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河道、水源、堤坝、水库等涉水设施安全监管</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县水务局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1.提供政策依据；</w:t>
              <w:br/>
              <w:t>2.对河道、水源、堤坝、水库等涉水设施的建设、维护；</w:t>
              <w:br/>
              <w:t>3.提供必要的物资保障。</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1.加强政策宣传；</w:t>
              <w:br/>
              <w:t>2.开展日常巡查巡护；</w:t>
              <w:br/>
              <w:t>3.发现问题及时上报；</w:t>
              <w:br/>
              <w:t>4.对能力范围内的隐患进行化解。</w:t>
            </w:r>
          </w:p>
        </w:tc>
      </w:tr>
      <w:tr>
        <w:trPr>
          <w:trHeight w:val="65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59</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农村饮水安全</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县水务局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1.针对人饮工程情况制定可行性供水方案；</w:t>
              <w:br/>
              <w:t>2.实施农村饮水安全巩固提升工程，更换改造铺设管道、新建阀井、管道穿渠等；</w:t>
              <w:br/>
              <w:t>3.进行人饮工程施工及运行管理；</w:t>
              <w:br/>
              <w:t>4.监督水站规范运行。</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1.开展农村饮用水情况调查；</w:t>
              <w:br/>
              <w:t>2.配合第三方统计自来水存在问题并按照要求完成整改；</w:t>
              <w:br/>
              <w:t>3.宣传冬季自来水防冻工作；</w:t>
              <w:br/>
              <w:t>4.收集整理水质检测报告并下发至各村。</w:t>
            </w:r>
          </w:p>
        </w:tc>
      </w:tr>
      <w:tr>
        <w:trPr>
          <w:trHeight w:val="65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60</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房屋、土地及地上附着物评估及征收</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县自然资源局</w:t>
            </w:r>
            <w:r>
              <w:rPr>
                <w:rFonts w:ascii="Times New Roman" w:eastAsia="方正公文仿宋" w:cs="Times New Roman" w:hAnsi="Times New Roman"/>
                <w:color w:val="auto"/>
                <w:lang w:val="en-US" w:eastAsia="zh-CN"/>
              </w:rPr>
              <w:br/>
            </w:r>
            <w:r>
              <w:rPr>
                <w:rFonts w:ascii="Times New Roman" w:eastAsia="方正公文仿宋" w:cs="Times New Roman" w:hAnsi="Times New Roman" w:hint="eastAsia"/>
                <w:color w:val="auto"/>
                <w:lang w:val="en-US" w:eastAsia="zh-CN"/>
              </w:rPr>
              <w:t>县城乡建设和交通运输局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color w:val="auto"/>
                <w:lang w:val="en-US" w:eastAsia="zh-CN"/>
              </w:rPr>
              <w:t>1.</w:t>
            </w:r>
            <w:r>
              <w:rPr>
                <w:rFonts w:ascii="Times New Roman" w:eastAsia="方正公文仿宋" w:cs="Times New Roman" w:hAnsi="Times New Roman" w:hint="eastAsia"/>
                <w:color w:val="auto"/>
                <w:lang w:val="en-US" w:eastAsia="zh-CN"/>
              </w:rPr>
              <w:t>开展土地现状调查，拟定征地补偿安置方案；</w:t>
            </w:r>
            <w:r>
              <w:rPr>
                <w:rFonts w:ascii="Times New Roman" w:eastAsia="方正公文仿宋" w:cs="Times New Roman" w:hAnsi="Times New Roman"/>
                <w:color w:val="auto"/>
                <w:lang w:val="en-US" w:eastAsia="zh-CN"/>
              </w:rPr>
              <w:br/>
              <w:t>2.</w:t>
            </w:r>
            <w:r>
              <w:rPr>
                <w:rFonts w:ascii="Times New Roman" w:eastAsia="方正公文仿宋" w:cs="Times New Roman" w:hAnsi="Times New Roman" w:hint="eastAsia"/>
                <w:color w:val="auto"/>
                <w:lang w:val="en-US" w:eastAsia="zh-CN"/>
              </w:rPr>
              <w:t>征求被征收土地所有权人的意见；</w:t>
            </w:r>
            <w:r>
              <w:rPr>
                <w:rFonts w:ascii="Times New Roman" w:eastAsia="方正公文仿宋" w:cs="Times New Roman" w:hAnsi="Times New Roman"/>
                <w:color w:val="auto"/>
                <w:lang w:val="en-US" w:eastAsia="zh-CN"/>
              </w:rPr>
              <w:br/>
              <w:t>3.</w:t>
            </w:r>
            <w:r>
              <w:rPr>
                <w:rFonts w:ascii="Times New Roman" w:eastAsia="方正公文仿宋" w:cs="Times New Roman" w:hAnsi="Times New Roman" w:hint="eastAsia"/>
                <w:color w:val="auto"/>
                <w:lang w:val="en-US" w:eastAsia="zh-CN"/>
              </w:rPr>
              <w:t>发布土地征收公告；</w:t>
            </w:r>
            <w:r>
              <w:rPr>
                <w:rFonts w:ascii="Times New Roman" w:eastAsia="方正公文仿宋" w:cs="Times New Roman" w:hAnsi="Times New Roman"/>
                <w:color w:val="auto"/>
                <w:lang w:val="en-US" w:eastAsia="zh-CN"/>
              </w:rPr>
              <w:br/>
              <w:t>4.</w:t>
            </w:r>
            <w:r>
              <w:rPr>
                <w:rFonts w:ascii="Times New Roman" w:eastAsia="方正公文仿宋" w:cs="Times New Roman" w:hAnsi="Times New Roman" w:hint="eastAsia"/>
                <w:color w:val="auto"/>
                <w:lang w:val="en-US" w:eastAsia="zh-CN"/>
              </w:rPr>
              <w:t>对拟征收土地开展勘测定界；</w:t>
            </w:r>
            <w:r>
              <w:rPr>
                <w:rFonts w:ascii="Times New Roman" w:eastAsia="方正公文仿宋" w:cs="Times New Roman" w:hAnsi="Times New Roman"/>
                <w:color w:val="auto"/>
                <w:lang w:val="en-US" w:eastAsia="zh-CN"/>
              </w:rPr>
              <w:br/>
              <w:t>5.</w:t>
            </w:r>
            <w:r>
              <w:rPr>
                <w:rFonts w:ascii="Times New Roman" w:eastAsia="方正公文仿宋" w:cs="Times New Roman" w:hAnsi="Times New Roman" w:hint="eastAsia"/>
                <w:color w:val="auto"/>
                <w:lang w:val="en-US" w:eastAsia="zh-CN"/>
              </w:rPr>
              <w:t>签订征地补偿安置协议；</w:t>
            </w:r>
            <w:r>
              <w:rPr>
                <w:rFonts w:ascii="Times New Roman" w:eastAsia="方正公文仿宋" w:cs="Times New Roman" w:hAnsi="Times New Roman"/>
                <w:color w:val="auto"/>
                <w:lang w:val="en-US" w:eastAsia="zh-CN"/>
              </w:rPr>
              <w:br/>
              <w:t>6.</w:t>
            </w:r>
            <w:r>
              <w:rPr>
                <w:rFonts w:ascii="Times New Roman" w:eastAsia="方正公文仿宋" w:cs="Times New Roman" w:hAnsi="Times New Roman" w:hint="eastAsia"/>
                <w:color w:val="auto"/>
                <w:lang w:val="en-US" w:eastAsia="zh-CN"/>
              </w:rPr>
              <w:t>按时发放土地征收补偿款。</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color w:val="auto"/>
                <w:lang w:val="en-US" w:eastAsia="zh-CN"/>
              </w:rPr>
              <w:t>1.</w:t>
            </w:r>
            <w:r>
              <w:rPr>
                <w:rFonts w:ascii="Times New Roman" w:eastAsia="方正公文仿宋" w:cs="Times New Roman" w:hAnsi="Times New Roman" w:hint="eastAsia"/>
                <w:color w:val="auto"/>
                <w:lang w:val="en-US" w:eastAsia="zh-CN"/>
              </w:rPr>
              <w:t>协助相关部门开展土地现状调查、公告、听取被征收土地所有权人意见；</w:t>
            </w:r>
            <w:r>
              <w:rPr>
                <w:rFonts w:ascii="Times New Roman" w:eastAsia="方正公文仿宋" w:cs="Times New Roman" w:hAnsi="Times New Roman"/>
                <w:color w:val="auto"/>
                <w:lang w:val="en-US" w:eastAsia="zh-CN"/>
              </w:rPr>
              <w:br/>
              <w:t>2.</w:t>
            </w:r>
            <w:r>
              <w:rPr>
                <w:rFonts w:ascii="Times New Roman" w:eastAsia="方正公文仿宋" w:cs="Times New Roman" w:hAnsi="Times New Roman" w:hint="eastAsia"/>
                <w:color w:val="auto"/>
                <w:lang w:val="en-US" w:eastAsia="zh-CN"/>
              </w:rPr>
              <w:t>组织土地所有权人、使用权人与相关部门签订征地补偿协议；</w:t>
            </w:r>
            <w:r>
              <w:rPr>
                <w:rFonts w:ascii="Times New Roman" w:eastAsia="方正公文仿宋" w:cs="Times New Roman" w:hAnsi="Times New Roman"/>
                <w:color w:val="auto"/>
                <w:lang w:val="en-US" w:eastAsia="zh-CN"/>
              </w:rPr>
              <w:br/>
              <w:t>3.</w:t>
            </w:r>
            <w:r>
              <w:rPr>
                <w:rFonts w:ascii="Times New Roman" w:eastAsia="方正公文仿宋" w:cs="Times New Roman" w:hAnsi="Times New Roman" w:hint="eastAsia"/>
                <w:color w:val="auto"/>
                <w:lang w:val="en-US" w:eastAsia="zh-CN"/>
              </w:rPr>
              <w:t>调解土地征收过程中出现的矛盾和问题。</w:t>
            </w:r>
          </w:p>
        </w:tc>
      </w:tr>
      <w:tr>
        <w:trPr>
          <w:trHeight w:val="65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61</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自建房安全检查</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县城乡建设和交通运输局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1.加强自建房监管，牵头组织开展专项整治工作，排查自建房结构安全问题；</w:t>
              <w:br/>
              <w:t>2.建设城镇房屋、农村房屋综合管理信息平台，推进信息共享，建立健全全链条监管机制；</w:t>
              <w:br/>
              <w:t>3.做好危旧房屋整治工作。</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1.组织各村对全乡镇房屋进行初步排查，对可见的裂缝等问题隐患进行梳理，并建立台账；</w:t>
              <w:br/>
              <w:t>2.对排查中发现的疑似危房，采取初步管控措施；</w:t>
              <w:br/>
              <w:t>3.发现问题线索及时上报；</w:t>
              <w:br/>
              <w:t>4.配合住建部门做好房屋等级鉴定；</w:t>
              <w:br/>
              <w:t>5.根据住建部门反馈的专业鉴定报告，建立完善隐患台账；</w:t>
              <w:br/>
              <w:t>6.对危旧房住户进行劝导。</w:t>
            </w:r>
          </w:p>
        </w:tc>
      </w:tr>
      <w:tr>
        <w:trPr>
          <w:trHeight w:val="2537"/>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62</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农村公路的养护监管</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县城乡建设和交通运输局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1.负责农村公路新改建及大修养护工程；</w:t>
              <w:br/>
              <w:t>2.负责县道的养护工作，具体包括：道路巡查、路面及桥面保洁、路肩边坡水毁处置及蒿草修剪，行道树、桥梁、涵洞、交安设施刷新刷白等工作；</w:t>
              <w:br/>
              <w:t>3.负责县道管理工作，具体包括：乡村道路及其沿线设施的管护，制止各种侵占、损坏公路、公路用地、公路附属设施的违法行为；</w:t>
              <w:br/>
              <w:t>4.负责农村公路超限车辆治理工作。</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1.做好辖区乡道日常巡查，对发现的隐患问题及时上报；</w:t>
              <w:br/>
              <w:t>2.制止并上报损坏道路设施等行为。</w:t>
            </w:r>
          </w:p>
        </w:tc>
      </w:tr>
      <w:tr>
        <w:trPr>
          <w:trHeight w:val="1616"/>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63</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对辖区建筑施工领域安全生产检查监管</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县城乡建设和交通运输局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牵头负责本辖区内建筑施工项目安全生产、建筑安全的监督管理，统筹消防救援大队、公安等部门，对各类安全生产隐患和违法行为进行查处。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1.对本辖区建筑施工领域进行安全检查；</w:t>
              <w:br/>
              <w:t>2.发现安全生产隐患和违法行为并具备处置能力的及时制止，责令限期整改；</w:t>
              <w:br/>
              <w:t>3.对拒不整改、存在重大安全隐患等情形的及时上报有关部门。</w:t>
            </w:r>
          </w:p>
        </w:tc>
      </w:tr>
      <w:tr>
        <w:trPr>
          <w:trHeight w:val="1716"/>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64</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闲置校舍、校田无偿划转工作</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县教育体育局</w:t>
              <w:br/>
              <w:t>县自然资源局</w:t>
              <w:br/>
              <w:t>县财政局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县教育体育局：牵头制定划转方案，审核闲置校舍的权属、面积、用途等基础信息。</w:t>
              <w:br/>
              <w:t>县自然资源局：核实土地性质，指导土地用途合规性。</w:t>
              <w:br/>
              <w:t>县财政局：负责资产移交的审批工作。</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1.现场查看闲置校舍、校田；</w:t>
              <w:br/>
              <w:t>2.上报查看信息。</w:t>
            </w:r>
          </w:p>
        </w:tc>
      </w:tr>
      <w:tr>
        <w:trPr>
          <w:trHeight w:val="2567"/>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65</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对建设单位和个人未经批准进行临时建设、未按照批准内容进行临时建设、临时建筑物、构筑物超过批准权限不拆除的处置</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县城乡建设和交通运输局</w:t>
              <w:br/>
              <w:t>县自然资源局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县城乡建设和交通运输局：对住宅小区内建设单位和个人未经批准进行临时建设等行为进行认定，确认违法行为，按照法律程序进行行政处罚。</w:t>
              <w:br/>
              <w:t>县自然资源局：对建设单位和个人未经批准进行临时建设等行为进行认定，确认违法行为，对违法行为立案查处或将线索移交赋权的执法部门查处。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1.进行日常巡查；</w:t>
              <w:br/>
              <w:t>2.对巡查发现或群众举报的线索进行汇集并及时上报；</w:t>
              <w:br/>
              <w:t>3.配合相关单位对违法问题进行处置。</w:t>
            </w:r>
          </w:p>
        </w:tc>
      </w:tr>
      <w:tr>
        <w:trPr>
          <w:trHeight w:val="2540"/>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66</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闲置宅基地盘活利用</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县农业农村局</w:t>
              <w:br/>
              <w:t>县自然资源局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县农业农村局：负责农村宅基地改革和管理工作，建立健全宅基地分配、使用、流转、违法用地查处等管理制度，指导宅基地合理布局，闲置宅基地闲置农房利用，备案登记农村宅基地使用权流转。</w:t>
              <w:br/>
              <w:t>县自然资源局：负责在国土空间规划中统筹安排宅基地用地规模和布局，依法办理农用地转用审批和规划许可等相关手续。</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1.摸排闲置宅基地和闲置农房信息；</w:t>
              <w:br/>
              <w:t>2.对闲置宅基地和农房进行盘活利用。</w:t>
            </w:r>
          </w:p>
        </w:tc>
      </w:tr>
      <w:tr>
        <w:trPr>
          <w:trHeight w:val="2273"/>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67</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“门前三包”责任制落实</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县城乡建设和交通运输局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1.加强对商户的宣传，引导沿街商户自觉遵守“门前三包”管理规定，强化商家主体责任意识；</w:t>
              <w:br/>
              <w:t>2.对商户落实“门前三包”责任制度进行不定期抽查，发现存在乱堆乱放、乱张贴、占道经营等市容问题及时通报给乡镇，督促商户立即整改；</w:t>
              <w:br/>
              <w:t>3.对多次劝导仍不改正的违法行为，安排执法人员进行立案调查，现场取证，并责令商户立即改正，依法依规进行行政处罚。</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1.政策宣传；</w:t>
              <w:br/>
              <w:t>2.日常巡查；</w:t>
              <w:br/>
              <w:t>3.违法情形上报。</w:t>
            </w:r>
          </w:p>
        </w:tc>
      </w:tr>
      <w:tr>
        <w:trPr>
          <w:trHeight w:val="2105"/>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68</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高空作业隐患整治</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县城乡建设和交通运输局</w:t>
              <w:br/>
              <w:t>县应急管理局</w:t>
              <w:br/>
              <w:t>县发展改革和科学技术局</w:t>
              <w:br/>
              <w:t>县工业信息化和商务局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县城乡建设和交通运输局：负责建筑、交通运输、市政管理、园林绿化领域高空作业隐患整治。</w:t>
              <w:br/>
              <w:t>县应急管理局：负责危险化学品领域及工贸领域高空作业隐患整治。</w:t>
              <w:br/>
              <w:t>县发展改革和科学技术局：负责电力行业隐患整治。</w:t>
              <w:br/>
              <w:t>县工业信息化和商务局：负责通信行业、商贸服务行业隐患整治。</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负责隐患排查，及时劝导，做好安全提醒，发现问题及时上报行业主管部门。</w:t>
            </w:r>
          </w:p>
        </w:tc>
      </w:tr>
      <w:tr>
        <w:trPr>
          <w:trHeight w:val="744"/>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69</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经营场所存在“双气源”的排查整治</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县城乡建设和交通运输局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对经营场所存在“双气源”的进行整治。</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对经营场所存在“双气源”的进行摸排上报。</w:t>
            </w:r>
          </w:p>
        </w:tc>
      </w:tr>
      <w:tr>
        <w:trPr>
          <w:trHeight w:val="893"/>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70</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“黑气瓶”“双嘴瓶”排查整治</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县城乡建设和交通运输局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查处“黑气瓶”贩子等液化气行业违法违规行为，禁止使用、回收50公斤液化石油气“双嘴瓶”“黑气瓶”。</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摸排辖区液化气使用情况，发现“黑气瓶”“双嘴瓶”后及时上报。</w:t>
            </w:r>
          </w:p>
        </w:tc>
      </w:tr>
      <w:tr>
        <w:trPr>
          <w:trHeight w:val="1239"/>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71</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推进“四好农村路”高质量发展</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县城乡建设和交通运输局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1.全面推进“四好农村路”高质量发展，负责县级农村公路建设和管理，拟定全县农村公路发展中长期规划、计划并组织实施；</w:t>
              <w:br/>
              <w:t>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负责本辖区内农村公路的管理、养护及路域环境治理。</w:t>
            </w:r>
          </w:p>
        </w:tc>
      </w:tr>
      <w:tr>
        <w:trPr>
          <w:trHeight w:val="482"/>
        </w:trPr>
        <w:tc>
          <w:tcPr>
            <w:tcW w:w="14045" w:type="dxa"/>
            <w:gridSpan w:val="5"/>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eastAsia="方正公文仿宋" w:cs="Times New Roman" w:hAnsi="Times New Roman" w:hint="eastAsia"/>
                <w:color w:val="auto"/>
                <w:lang w:val="en-US" w:eastAsia="zh-CN"/>
              </w:rPr>
            </w:pPr>
            <w:r>
              <w:rPr>
                <w:rStyle w:val="25"/>
                <w:rFonts w:ascii="Times New Roman" w:eastAsia="方正公文黑体" w:cs="Times New Roman" w:hAnsi="Times New Roman" w:hint="eastAsia"/>
                <w:b w:val="0"/>
                <w:bCs w:val="0"/>
                <w:color w:val="auto"/>
                <w:lang w:val="en-US" w:eastAsia="zh-CN"/>
              </w:rPr>
              <w:t>七、文化和旅游（1项）</w:t>
            </w:r>
          </w:p>
        </w:tc>
      </w:tr>
      <w:tr>
        <w:trPr>
          <w:trHeight w:val="5977"/>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hint="eastAsia"/>
                <w:color w:val="auto"/>
                <w:lang w:val="en-US" w:eastAsia="zh-CN"/>
              </w:rPr>
              <w:t>72</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旅游场所、农家乐安全监督管理</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县文化旅游广电局</w:t>
              <w:br/>
              <w:t>县市场监督管理局</w:t>
              <w:br/>
              <w:t>县应急管理局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县文化旅游广电局：</w:t>
              <w:br/>
              <w:t>1.负责旅游业的指导、协调、管理、服务和监督工作；</w:t>
              <w:br/>
              <w:t>2.对旅游资源进行普查、评估、登记、建立旅游资源信息库；</w:t>
              <w:br/>
              <w:t>3.会同有关部门负责指导、协调、监督旅游资源的保护、开发和利用；</w:t>
              <w:br/>
              <w:t>4.保障旅游用地，完善旅游宣传推广体系，发展旅游项目，推动旅游产业发展与新型工业化、信息化、城镇化和农业现代化相结合，推动观光、休闲、度假旅游协同发展；</w:t>
              <w:br/>
              <w:t>5.制定旅游突发事件应急预案，加强旅游安全监管。</w:t>
              <w:br/>
              <w:t>县市场监督管理局：</w:t>
              <w:br/>
              <w:t>1.对农家乐等提供餐饮服务的场所，要求取得食品经营许可证，落实食品安全管理制度；</w:t>
              <w:br/>
              <w:t>2.景区内涉及特种设备（如索道、游乐设施）的，需符合安全技术规范并定期检验。</w:t>
              <w:br/>
              <w:t>县应急管理局：要求旅游场所和农家乐制定安全生产事故应急预案，并定期组织演练。</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1.负责协助旅游资源开发保护，协助编制、评估和落实旅游发展有关规划；</w:t>
              <w:br/>
              <w:t>2.对旅游资源进行普查；</w:t>
              <w:br/>
              <w:t>3.协助保障落实旅游用地，积极开发旅游业态、旅游项目；</w:t>
              <w:br/>
              <w:t>4.负责做好相关安全生产应急预案工作和旅游市场安全生产与管理工作。</w:t>
            </w:r>
          </w:p>
        </w:tc>
      </w:tr>
      <w:tr>
        <w:trPr>
          <w:trHeight w:val="482"/>
        </w:trPr>
        <w:tc>
          <w:tcPr>
            <w:tcW w:w="14045" w:type="dxa"/>
            <w:gridSpan w:val="5"/>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eastAsia="方正公文仿宋" w:cs="Times New Roman" w:hAnsi="Times New Roman" w:hint="eastAsia"/>
                <w:color w:val="auto"/>
                <w:lang w:val="en-US" w:eastAsia="zh-CN"/>
              </w:rPr>
            </w:pPr>
            <w:r>
              <w:rPr>
                <w:rStyle w:val="25"/>
                <w:rFonts w:ascii="Times New Roman" w:eastAsia="方正公文黑体" w:cs="Times New Roman" w:hAnsi="Times New Roman" w:hint="eastAsia"/>
                <w:b w:val="0"/>
                <w:bCs w:val="0"/>
                <w:color w:val="auto"/>
                <w:lang w:val="en-US" w:eastAsia="zh-CN"/>
              </w:rPr>
              <w:t>八、卫生健康（2项）</w:t>
            </w:r>
          </w:p>
        </w:tc>
      </w:tr>
      <w:tr>
        <w:trPr>
          <w:trHeight w:val="1589"/>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hint="eastAsia"/>
                <w:color w:val="auto"/>
                <w:lang w:val="en-US" w:eastAsia="zh-CN"/>
              </w:rPr>
              <w:t>73</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病死动物无害化处理</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县农业农村局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color w:val="auto"/>
                <w:lang w:val="en-US" w:eastAsia="zh-CN"/>
              </w:rPr>
              <w:t>1.</w:t>
            </w:r>
            <w:r>
              <w:rPr>
                <w:rFonts w:ascii="Times New Roman" w:eastAsia="方正公文仿宋" w:cs="Times New Roman" w:hAnsi="Times New Roman" w:hint="eastAsia"/>
                <w:color w:val="auto"/>
                <w:lang w:val="en-US" w:eastAsia="zh-CN"/>
              </w:rPr>
              <w:t>负责本行政区域病死畜禽和病害畜禽产品无害化处理的监督管理工作；</w:t>
            </w:r>
            <w:r>
              <w:rPr>
                <w:rFonts w:ascii="Times New Roman" w:eastAsia="方正公文仿宋" w:cs="Times New Roman" w:hAnsi="Times New Roman"/>
                <w:color w:val="auto"/>
                <w:lang w:val="en-US" w:eastAsia="zh-CN"/>
              </w:rPr>
              <w:br/>
              <w:t>2.</w:t>
            </w:r>
            <w:r>
              <w:rPr>
                <w:rFonts w:ascii="Times New Roman" w:eastAsia="方正公文仿宋" w:cs="Times New Roman" w:hAnsi="Times New Roman" w:hint="eastAsia"/>
                <w:color w:val="auto"/>
                <w:lang w:val="en-US" w:eastAsia="zh-CN"/>
              </w:rPr>
              <w:t>对江河、湖泊、水库等水域发现的死亡畜禽组织收集、处理并溯源。</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color w:val="auto"/>
                <w:lang w:val="en-US" w:eastAsia="zh-CN"/>
              </w:rPr>
              <w:t>1.</w:t>
            </w:r>
            <w:r>
              <w:rPr>
                <w:rFonts w:ascii="Times New Roman" w:eastAsia="方正公文仿宋" w:cs="Times New Roman" w:hAnsi="Times New Roman" w:hint="eastAsia"/>
                <w:color w:val="auto"/>
                <w:lang w:val="en-US" w:eastAsia="zh-CN"/>
              </w:rPr>
              <w:t>做好辖区病死动物无害化处理宣传、信息报送工作；</w:t>
            </w:r>
            <w:r>
              <w:rPr>
                <w:rFonts w:ascii="Times New Roman" w:eastAsia="方正公文仿宋" w:cs="Times New Roman" w:hAnsi="Times New Roman"/>
                <w:color w:val="auto"/>
                <w:lang w:val="en-US" w:eastAsia="zh-CN"/>
              </w:rPr>
              <w:br/>
              <w:t>2.</w:t>
            </w:r>
            <w:r>
              <w:rPr>
                <w:rFonts w:ascii="Times New Roman" w:eastAsia="方正公文仿宋" w:cs="Times New Roman" w:hAnsi="Times New Roman" w:hint="eastAsia"/>
                <w:color w:val="auto"/>
                <w:lang w:val="en-US" w:eastAsia="zh-CN"/>
              </w:rPr>
              <w:t>对辖区内发现的死亡畜禽进行组织收集、处理并溯源。</w:t>
            </w:r>
          </w:p>
        </w:tc>
      </w:tr>
      <w:tr>
        <w:trPr>
          <w:trHeight w:val="65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hint="eastAsia"/>
                <w:color w:val="auto"/>
                <w:lang w:val="en-US" w:eastAsia="zh-CN"/>
              </w:rPr>
              <w:t>74</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新生儿在医疗卫生机构以外地点死亡的核查</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县卫生健康局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color w:val="auto"/>
                <w:lang w:val="en-US" w:eastAsia="zh-CN"/>
              </w:rPr>
              <w:t>1.</w:t>
            </w:r>
            <w:r>
              <w:rPr>
                <w:rFonts w:ascii="Times New Roman" w:eastAsia="方正公文仿宋" w:cs="Times New Roman" w:hAnsi="Times New Roman" w:hint="eastAsia"/>
                <w:color w:val="auto"/>
                <w:lang w:val="en-US" w:eastAsia="zh-CN"/>
              </w:rPr>
              <w:t>对乡镇上报信息进行核查；</w:t>
            </w:r>
            <w:r>
              <w:rPr>
                <w:rFonts w:ascii="Times New Roman" w:eastAsia="方正公文仿宋" w:cs="Times New Roman" w:hAnsi="Times New Roman"/>
                <w:color w:val="auto"/>
                <w:lang w:val="en-US" w:eastAsia="zh-CN"/>
              </w:rPr>
              <w:br/>
              <w:t>2.</w:t>
            </w:r>
            <w:r>
              <w:rPr>
                <w:rFonts w:ascii="Times New Roman" w:eastAsia="方正公文仿宋" w:cs="Times New Roman" w:hAnsi="Times New Roman" w:hint="eastAsia"/>
                <w:color w:val="auto"/>
                <w:lang w:val="en-US" w:eastAsia="zh-CN"/>
              </w:rPr>
              <w:t>将核实结果上报上级部门。</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发现新生儿在医疗卫生机构以外地点死亡的，及时上报相关信息。</w:t>
            </w:r>
          </w:p>
        </w:tc>
      </w:tr>
      <w:tr>
        <w:trPr>
          <w:trHeight w:val="482"/>
        </w:trPr>
        <w:tc>
          <w:tcPr>
            <w:tcW w:w="14045" w:type="dxa"/>
            <w:gridSpan w:val="5"/>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eastAsia="方正公文仿宋" w:cs="Times New Roman" w:hAnsi="Times New Roman" w:hint="eastAsia"/>
                <w:color w:val="auto"/>
                <w:lang w:val="en-US" w:eastAsia="zh-CN"/>
              </w:rPr>
            </w:pPr>
            <w:r>
              <w:rPr>
                <w:rStyle w:val="25"/>
                <w:rFonts w:eastAsia="方正公文黑体" w:hAnsi="方正公文黑体" w:hint="eastAsia"/>
                <w:color w:val="auto"/>
                <w:lang w:val="en-US" w:eastAsia="zh-CN"/>
              </w:rPr>
              <w:t>九、应急管理及消防（15项）</w:t>
            </w:r>
          </w:p>
        </w:tc>
      </w:tr>
      <w:tr>
        <w:trPr>
          <w:trHeight w:val="3904"/>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hint="eastAsia"/>
                <w:color w:val="auto"/>
                <w:lang w:val="en-US" w:eastAsia="zh-CN"/>
              </w:rPr>
              <w:t>75</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森林草原火灾隐患排查和火灾扑救</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color w:val="auto"/>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县林业和草原局</w:t>
              <w:br/>
              <w:t>县应急管理局</w:t>
              <w:br/>
              <w:t>六盘山国有林业局秋千架林场和沙塘林场</w:t>
              <w:br/>
              <w:t>泾源县旅游开发服务有限公司（胭脂峡景区）</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林业和草原局：按照职责分工负责县域内森林草原预防，开展防火巡护、火源管理、日常检查、宣传教育、防火设施建设和火情早期处理等工作，发现问题下达森林草原隐患整改通知书，责令限期整改、消除隐患。</w:t>
              <w:br/>
              <w:t>县应急管理局：按照分级负责原则，指导森林草原处置工作。</w:t>
              <w:br/>
              <w:t>六盘山国有林业局秋千架林场和沙塘林场、泾源县旅游开发服务有限公司（胭脂峡景区）：负责本辖区森林草原防火的宣传教育，组建队伍进行林场巡查，加强火种、火源的管理，定期进行巡查及隐患排查，发现或接到群众报告火情后，立即组织扑救并上报。</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1.负责辖区林草防火的宣传教育，组织参加防灭火知识培训；</w:t>
              <w:br/>
              <w:t>2.对辖区森林草原防火区进行巡查，发现或接到群众举报火灾隐患及时消除，出现火情第一时间上报有关部门；</w:t>
              <w:br/>
              <w:t>3.在火势较小、保证安全的前提下，先行组织进行初期扑救。</w:t>
            </w:r>
          </w:p>
        </w:tc>
      </w:tr>
      <w:tr>
        <w:trPr>
          <w:trHeight w:val="2706"/>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snapToGrid w:val="0"/>
                <w:color w:val="auto"/>
                <w:kern w:val="0"/>
                <w:sz w:val="21"/>
                <w:szCs w:val="21"/>
                <w:lang w:val="en-US" w:eastAsia="zh-CN"/>
              </w:rPr>
              <w:t>76</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应急广播系统（平台）建设和管理</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县文化旅游广电局</w:t>
              <w:br/>
              <w:t>县融媒体中心</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县文化旅游广电局：负责对应急广播系统建设检查考核、项目验收、施工建设等工作进行督导检查。</w:t>
              <w:br/>
              <w:t>县融媒体中心：</w:t>
              <w:br/>
              <w:t>1.负责应急广播系统建设技术方案的制定；</w:t>
              <w:br/>
              <w:t>2.负责应急广播系统建设项目的工程招标、组织实施、调度督导、检查考核、项目验收工作及应急广播管理平台日常运行和维护。</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1.负责做好本乡镇、辖区各行政村专用机房配备及设备安装工作，并安排专人负责应急广播设备日常管理工作等事宜；</w:t>
              <w:br/>
              <w:t>2.负责应急广播系统项目建设中涉及到的布设杆路的协调工作。</w:t>
            </w:r>
          </w:p>
        </w:tc>
      </w:tr>
      <w:tr>
        <w:trPr>
          <w:trHeight w:val="3139"/>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snapToGrid w:val="0"/>
                <w:color w:val="auto"/>
                <w:kern w:val="0"/>
                <w:sz w:val="21"/>
                <w:szCs w:val="21"/>
                <w:lang w:val="en-US" w:eastAsia="zh-CN"/>
              </w:rPr>
              <w:t>77</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电动车安全监督管理</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县消防救援大队</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开展电动自行车违规停放、违规充电专项整治行动，明确整治内容、整治范围，提供技术支持，对违法违规行为进行查处。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1.宣传电动车安全知识；</w:t>
              <w:br/>
              <w:t>2.指导发挥网格员作用，对建筑管理单位、村民委员会发现上报的违法违规行为进行劝阻、制止，责令改正，制止未果的及时上报主管部门；</w:t>
              <w:br/>
              <w:t>3.配合开展电动自行车违规停放、违规充电专项整治。</w:t>
            </w:r>
          </w:p>
        </w:tc>
      </w:tr>
      <w:tr>
        <w:trPr>
          <w:trHeight w:val="4879"/>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78</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地质灾害防治</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县自然资源局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1.负责组织、协调、指导和监督地质灾害防治工作；</w:t>
              <w:br/>
              <w:t>2.会同住建和交通、水务等部门依据地质灾害防治规划，拟定年度地质灾害防治方案；</w:t>
              <w:br/>
              <w:t>3.结合地质环境状况组织开展地质灾害调查；</w:t>
              <w:br/>
              <w:t>4.会同气象部门发布地质灾害预报；</w:t>
              <w:br/>
              <w:t>5.及时划定地质灾害危险区并公告，设置明显警示标志；</w:t>
              <w:br/>
              <w:t>6.会同住建和交通、水务部门拟定地质灾害应急预案。</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1.组织开展地质灾害防治工作，对划定的地质灾害区开展日常实地巡回检查，发现疑似新增地质灾害隐患点及时上报；</w:t>
              <w:br/>
              <w:t>2.组织做好紧急情况下的临灾避险工作，发现地质灾害灾（险）情前兆时，及时采取防范措施，并向上级人民政府和自然资源部门报告；</w:t>
              <w:br/>
              <w:t>3.开展防灾减灾知识的宣传工作，对地质灾害隐患点组织开展应急避险演练；</w:t>
              <w:br/>
              <w:t>4.发生地质灾害灾情或者险情时，及时组织人员赴现场应急处置，同时向上级人民政府和自然资源部门报告，协助相关部门开展应急处置、救援和善后工作。</w:t>
            </w:r>
          </w:p>
        </w:tc>
      </w:tr>
      <w:tr>
        <w:trPr>
          <w:trHeight w:val="8183"/>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79</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地震应急响应期间疑似危房的管控及转移群众的临时安置</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县应急管理局</w:t>
              <w:br/>
              <w:t>县城乡建设和交通运输局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县市场监督管理局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ascii="Times New Roman" w:eastAsia="方正公文仿宋" w:cs="Times New Roman" w:hAnsi="Times New Roman" w:hint="eastAsia"/>
                <w:color w:val="auto"/>
                <w:lang w:val="en-US" w:eastAsia="zh-CN"/>
              </w:rPr>
              <w:t>县民政和退役军人事务局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县应急管理局：</w:t>
              <w:br/>
              <w:t>1.组织协调开放行业部门管理的应急避难场所；</w:t>
              <w:br/>
              <w:t>2.及时协调调度应急物资保障临时安置群众生活所需；</w:t>
              <w:br/>
              <w:t>3.按规定做好符合条件的特殊困难群众救济救助工作。</w:t>
              <w:br/>
              <w:t>县城乡建设和交通运输局：</w:t>
              <w:br/>
              <w:t>1.根据乡镇上报的房屋安全排查情况，组织第三方检测机构开展鉴定，并将鉴定结果及时反馈相关部门和乡镇；</w:t>
              <w:br/>
              <w:t>2.对鉴定为C、D级房屋、暂不具备改造条件的，第一时间采取封闭停用、警示标示等管理措施加以管控，待条件成熟时采取工程措施彻底改造整治，并对符合条件的群众及时提供临时保障性住房进行安置。</w:t>
              <w:br/>
              <w:t>县市场监督管理局：根据房屋鉴定结果，对鉴定为C、D级房屋的营业场所协助住建部门进行临时关停。</w:t>
              <w:br/>
              <w:t>县民政和退役军人事务局：对经灾害救助过渡期满三个月后，基本生活仍困难的群众给予救助。</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1.开放本级及村级应急避难场所，启用应急设施设备，安置和管理受灾群众，管理救灾物资；</w:t>
              <w:br/>
              <w:t>2.根据上级部门反馈的房屋鉴定结果，对鉴定为C级房屋且具备条件的，动员群众进行加固，对鉴定为D级房屋的劝导群众搬离；</w:t>
              <w:br/>
              <w:t>3.配合上级住建、市场监管部门做好政策宣传和群众思想工作；</w:t>
              <w:br/>
              <w:t>4.配合做好危房加固、临时住房保障性住房政策落实以及困难群众的救济救助工作。</w:t>
            </w:r>
          </w:p>
        </w:tc>
      </w:tr>
      <w:tr>
        <w:trPr>
          <w:trHeight w:val="8304"/>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80</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对占用、堵塞、封闭疏散通道、安全出口或者有其他妨碍安全疏散行为的排查处置</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县消防救援大队</w:t>
              <w:br/>
              <w:t>县应急管理局</w:t>
              <w:br/>
              <w:t>县城乡建设和交通运输局</w:t>
              <w:br/>
              <w:t>县工业信息化和商务局</w:t>
              <w:br/>
              <w:t>县市场监督管理局</w:t>
              <w:br/>
              <w:t>县公安局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消防救援大队：负责对各类场所进行消防监督检查，依法查处占用、堵塞、封闭疏散通道、安全出口等消防违法行为；对可能严重威胁公共安全的危险部位或者场所予以临时查封；指导单位和乡镇开展消防安全宣传教育和培训工作。</w:t>
              <w:br/>
              <w:t>县应急管理局：综合协调各部门开展相关排查整治工作，督促各部门落实安全监管责任；对生产经营单位存在的妨碍安全疏散等违法行为进行查处，对重大安全隐患进行挂牌督办。</w:t>
              <w:br/>
              <w:t>县城乡建设和交通运输局：对建设工程的疏散通道、安全出口等消防设计进行审查和验收，确保新建、改建、扩建工程符合消防安全要求；指导和监督物业服务企业做好物业管理区域内的消防安全管理工作，督促物业服务企业对疏散通道、安全出口进行日常巡查和维护。</w:t>
              <w:br/>
              <w:t>县工业信息化和商务局：对商场、餐饮、住宿等商贸服务业进行监督检查，督促经营者保持疏散通道、安全出口畅通。</w:t>
              <w:br/>
              <w:t>县市场监督管理局：依法查处销售不合格消防产品的行为，配合相关部门开展消防安全专项整治。</w:t>
              <w:br/>
              <w:t>县公安局：公安派出所对辖区内的“九小场所”等进行消防监督检查，查处占用、堵塞、封闭疏散通道、安全出口等违法行为；配合消防救援部门开展灭火救援和应急处置工作，维护现场秩序。</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 xml:space="preserve">1.向社会广泛宣传消防安全知识，引导群众共同维护疏散通道、安全出口畅通；     </w:t>
              <w:br/>
              <w:t>2.对公共场所开展消防隐患排查，及时制止违法行为发生，并向执法部门通报；</w:t>
              <w:br/>
              <w:t>3.对排查出的隐患问题，协助县级部门督促整改，对难以整改的问题及时上报。</w:t>
            </w:r>
          </w:p>
        </w:tc>
      </w:tr>
      <w:tr>
        <w:trPr>
          <w:trHeight w:val="1973"/>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81</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对占用、堵塞、封闭消防车通道、妨碍消防车通行的排查处置</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县消防救援大队</w:t>
              <w:br/>
              <w:t>县城乡建设和交通运输局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县消防救援大队：开展消防监督检查，责令改正占用等违法行为；对拒不改正的，强制清理障碍物，并视情节轻重给予处罚。</w:t>
              <w:br/>
              <w:t>县城乡建设和交通运输局：监督建设单位按标准设置消防车通道；督促物业服务企业履行消防车通道管理维护责任。</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1.对消防车通道开展日常排查；</w:t>
              <w:br/>
              <w:t>2.通过多种渠道广泛宣传相关法律法规和消防安全知识；</w:t>
              <w:br/>
              <w:t>3.协助县级部门督促整改违法行为；</w:t>
              <w:br/>
              <w:t>4.及时向县级部门反馈排查整治情况。</w:t>
            </w:r>
          </w:p>
        </w:tc>
      </w:tr>
      <w:tr>
        <w:trPr>
          <w:trHeight w:val="3413"/>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82</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对人员密集场所在门窗上设置影响疏散逃生和灭火救援的障碍物的排查处置</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县消防救援大队</w:t>
              <w:br/>
              <w:t>县城乡建设和交通运输局</w:t>
              <w:br/>
              <w:t>县应急管理局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县消防救援大队：负责对人员密集场所进行消防监督检查，依法查处门窗设置障碍物的违法行为；对存在的问题责令限期改正，拒不改正的给予行政处罚；指导单位开展消防演练。</w:t>
              <w:br/>
              <w:t>县城乡建设和交通运输局：在建设工程消防设计审查验收中，严格把关人员密集场所门窗设计是否符合疏散逃生和灭火救援要求；督促物业服务企业对管理区域内人员密集场所的相关情况进行巡查和报告。</w:t>
              <w:br/>
              <w:t>县应急管理局：综合协调各部门开展隐患排查整治工作。</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1.配合执法部门组织执法人员、网格员等对人员密集场所进行排查；</w:t>
              <w:br/>
              <w:t>2.向人员密集场所经营者和从业人员宣传相关法律法规和消防安全知识；</w:t>
              <w:br/>
              <w:t>3.对排查出的问题，协助县级执法部门做好整改工作，上报整改情况。</w:t>
            </w:r>
          </w:p>
        </w:tc>
      </w:tr>
      <w:tr>
        <w:trPr>
          <w:trHeight w:val="65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83</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对在高层民用建筑的公共门厅、疏散走道、楼梯间、安全出口停放电动自行车或者为电动自行车充电，拒不改正的排查处置</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县消防救援大队</w:t>
              <w:br/>
              <w:t>县城乡建设和交通运输局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县消防救援大队：负责对高层民用建筑进行消防监督检查，依法查处违规停放、充电行为；责令存在问题的单位和个人限期改正，对拒不改正的实施行政处罚；对因违规行为引发火灾事故的，进行火灾事故调查。</w:t>
              <w:br/>
              <w:t>县城乡建设和交通运输局：督促物业服务企业履行消防安全管理职责，对电动自行车违规停放、充电行为进行巡查和劝阻；在建设工程消防设计审查验收中，严格把关相关设施的设计和建设是否符合消防安全要求。</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1.通过多种渠道广泛宣传相关法律法规和消防安全知识；</w:t>
              <w:br/>
              <w:t>2.对高层民用建筑进行日常监督检查，及时发现违规行为并记录；</w:t>
              <w:br/>
              <w:t>3.对发现的违规行为，督促当事人立即整改，拒不改正的及时上报执法部门。</w:t>
            </w:r>
          </w:p>
        </w:tc>
      </w:tr>
      <w:tr>
        <w:trPr>
          <w:trHeight w:val="2610"/>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84</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对商贸流通领域开展安全生产检查</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县工业信息化和商务局</w:t>
              <w:br/>
              <w:t>县应急管理局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县工业信息化和商务局：按照职责指导、督促商场、餐饮、住宿等商贸服务业（不含“九小”场所）的安全生产管理工作，协调、配合相关部门开展商贸流通领域安全隐患排查整治等工作。</w:t>
              <w:br/>
              <w:t>县应急管理局：指导协调、监督检查商务等部门做好商贸流通领域安全生产监督管理工作，组织开展综合督查检查，牵头负责事故查处。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对辖区内小型商场、超市（供销系统除外）、小型餐饮住宿场所（星级酒店除外），以及村组织建设或产权所有的各类商贸流通领域生产经营单位（含集贸市场、农村集市）进行日常安全隐患排查整治，发现安全生产隐患和违法行为应及时制止、限期整改，并按规定时限上报有关部门处理。</w:t>
            </w:r>
          </w:p>
        </w:tc>
      </w:tr>
      <w:tr>
        <w:trPr>
          <w:trHeight w:val="3874"/>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85</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“九小”场所安全监管</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县消防救援大队</w:t>
              <w:br/>
              <w:t>县应急管理局</w:t>
              <w:br/>
              <w:t>县公安局</w:t>
              <w:br/>
              <w:t>县城乡建设和交通运输局</w:t>
              <w:br/>
              <w:t>县工业信息化和商务局</w:t>
              <w:br/>
              <w:t>县市场监督管理局等负有安全生产监管职责相关部门</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县消防救援大队、县应急管理局、县公安局、县城乡建设和交通运输局、县工业信息化和商务局、县市场监督管理局等相关部门按照职责分工负责：</w:t>
              <w:br/>
              <w:t>1.建立县乡联动执法工作机制，制定年度综合检查工作计划并组织实施；</w:t>
              <w:br/>
              <w:t>2.对检查中发现的安全生产违法行为，当场予以纠正或者要求限期改正；</w:t>
              <w:br/>
              <w:t>3.对依法应当给予行政处罚的行为，依照有关法律法规的规定作出行政处罚决定。</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1.落实乡镇吹哨、部门报到工作机制，组织协调辖区执法力量及网格员队伍对辖区“九小”场所开展安全隐患排查，实施“综合查一次”；</w:t>
              <w:br/>
              <w:t>2.对排查出的问题建立台账并将有关情况上报，督促相关单位及时整改；</w:t>
              <w:br/>
              <w:t>3.对拒不整改的、问题比较突出的报有关部门及时查处。</w:t>
            </w:r>
          </w:p>
        </w:tc>
      </w:tr>
      <w:tr>
        <w:trPr>
          <w:trHeight w:val="191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86</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开展冬季取暖安全防范工作</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县发展改革和科学技术局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组织协调指导做好冬季取暖安全防范工作，对发现的安全隐患进行整改，协调居民进行清洁能源改造。</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开展冬季安全取暖宣传工作，摸排辖区内使用煤烟取暖的住户，配合有关部门对安全隐患进行排查整改。</w:t>
            </w:r>
          </w:p>
        </w:tc>
      </w:tr>
      <w:tr>
        <w:trPr>
          <w:trHeight w:val="65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87</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对辖区工贸企业安全生产检查监管</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县应急管理局</w:t>
              <w:br/>
              <w:t>县工业信息化和商务局</w:t>
              <w:br/>
              <w:t>县市场监督管理局</w:t>
              <w:br/>
              <w:t>县城乡建设和交通运输局</w:t>
              <w:br/>
              <w:t>县消防救援大队</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县应急管理局：负责冶金、有色建材、机械、轻工、纺织、烟草等工贸企业安全监管，对安全生产隐患和违法行为进行查处。</w:t>
              <w:br/>
              <w:t>县工业信息化和商务局：负责工贸企业、小生产加工企业、小作坊等生产经营单位安全生产的监督管理，对安全生产隐患和违法行为进行查处。</w:t>
              <w:br/>
              <w:t>县市场监督管理局：负责工贸企业、小生产加工企业、小作坊等生产经营单位证照、特种设备的监督管理，对食品安全隐患、产品质量安全隐患和违法行为进行查处。</w:t>
              <w:br/>
              <w:t>县城乡建设和交通运输局：配合工业信息化和商务部门对工贸企业、小生产加工企业、小作坊等生产经营单位建筑安全、消防验收备案的监督管理，对安全隐患和违法行为进行查处。</w:t>
              <w:br/>
              <w:t>县消防救援大队：负责辖区工贸企业等生产经营单位消防安全的监督管理，对消防安全隐患和违法行为进行查处。</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1.对本辖区工贸企业、小生产加工企业、小作坊等生产经营单位安全防护措施进行安全检查；</w:t>
              <w:br/>
              <w:t>2.发现安全生产隐患和违法行为并具备处置能力的及时制止，责令限期整改；</w:t>
              <w:br/>
              <w:t>3.对拒不整改、存在重大安全隐患等情形及时上报有关责任单位。</w:t>
            </w:r>
          </w:p>
        </w:tc>
      </w:tr>
      <w:tr>
        <w:trPr>
          <w:trHeight w:val="65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88</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对辖区大型群众性活动和重要时期的安全监管</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县公安局</w:t>
              <w:br/>
              <w:t>县应急管理局</w:t>
              <w:br/>
              <w:t>县消防救援大队</w:t>
              <w:br/>
              <w:t>县文化旅游广电局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县公安局：审批承办者递交的大型群众性活动申请；做好大型群众性活动的安全管理。</w:t>
              <w:br/>
              <w:t>县应急管理局：监督活动承办方落实安全生产主体责任，检查应急预案和演练情况；指导协调活动中的应急救援工作。</w:t>
              <w:br/>
              <w:t>县消防救援大队：对活动场所的消防设施、电气线路、疏散通道等进行安全检查；活动期间派驻消防车辆和人员备勤。</w:t>
              <w:br/>
              <w:t>县文化旅游广电局：对营业性演出、旅游节庆活动等涉及文化领域的活动进行行业安全指导。</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1.做好本辖区举办的大型群众性活动和重要时期的安全隐患排查，对具备处置能力的及时制止，责令限期整改，对拒不整改、存在重大安全隐患等情形及时上报；</w:t>
              <w:br/>
              <w:t>2.做好辖区内重点人群管控等社会面稳控工作；</w:t>
              <w:br/>
              <w:t>3.组织人员维护活动秩序，在指定区域内做好安保值守工作；</w:t>
              <w:br/>
              <w:t>4.按照活动预案安排，及时做好突发事件应对处置。</w:t>
            </w:r>
          </w:p>
        </w:tc>
      </w:tr>
      <w:tr>
        <w:trPr>
          <w:trHeight w:val="658"/>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89</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烟花爆竹的安全监管</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县应急管理局</w:t>
              <w:br/>
              <w:t>县公安局</w:t>
              <w:br/>
              <w:t>县市场监督管理局</w:t>
              <w:br/>
              <w:t>县供销合作社</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县应急管理局：负责本辖区内烟花爆竹经营、储存的安全监督管理工作。</w:t>
              <w:br/>
              <w:t>县公安局：负责烟花爆竹道路运输安全监管，从严审批焰火晚会等大型活动，积极开展“打非治违”并及时销毁非法烟花爆竹，依法打击惩处以危害公共安全和人身、财产安全的方式燃放烟花爆竹的违法行为。</w:t>
              <w:br/>
              <w:t>县市场监督管理局：负责烟花爆竹的质量监督管理。</w:t>
              <w:br/>
              <w:t>县供销合作社：加强对本系统企业烟花爆竹经营活动的管理。</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开展日常巡查，发现烟花爆竹违法违规生产经营行为及时制止并上报。</w:t>
            </w:r>
          </w:p>
        </w:tc>
      </w:tr>
      <w:tr>
        <w:trPr>
          <w:trHeight w:val="482"/>
        </w:trPr>
        <w:tc>
          <w:tcPr>
            <w:tcW w:w="14045" w:type="dxa"/>
            <w:gridSpan w:val="5"/>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eastAsia="方正公文仿宋" w:cs="Times New Roman" w:hAnsi="Times New Roman" w:hint="eastAsia"/>
                <w:color w:val="auto"/>
                <w:lang w:val="en-US" w:eastAsia="zh-CN"/>
              </w:rPr>
            </w:pPr>
            <w:r>
              <w:rPr>
                <w:rStyle w:val="25"/>
                <w:rFonts w:eastAsia="方正公文黑体" w:hAnsi="方正公文黑体" w:hint="eastAsia"/>
                <w:color w:val="auto"/>
                <w:lang w:val="en-US" w:eastAsia="zh-CN"/>
              </w:rPr>
              <w:t>十、市场监管（4项）</w:t>
            </w:r>
          </w:p>
        </w:tc>
      </w:tr>
      <w:tr>
        <w:trPr>
          <w:trHeight w:val="3385"/>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lang w:val="en-US" w:eastAsia="zh-CN"/>
              </w:rPr>
            </w:pPr>
            <w:r>
              <w:rPr>
                <w:rFonts w:ascii="Times New Roman" w:eastAsia="方正公文仿宋" w:cs="Times New Roman" w:hAnsi="Times New Roman" w:hint="eastAsia"/>
                <w:color w:val="auto"/>
                <w:lang w:val="en-US" w:eastAsia="zh-CN"/>
              </w:rPr>
              <w:t>90</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食品安全监督管理</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县市场监督管理局</w:t>
              <w:br/>
              <w:t>县卫生健康局</w:t>
              <w:br/>
              <w:t>县农业农村局</w:t>
              <w:br/>
              <w:t>县工业信息化和商务局</w:t>
              <w:br/>
              <w:t>县城乡建设和交通运输局</w:t>
              <w:br/>
              <w:t>固原市生态环境局泾源分局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县市场监督管理局：负责对食品生产经营活动实施监督管理。</w:t>
              <w:br/>
              <w:t>县卫生健康局、县农业农村局、县工业信息化和商务局、县城乡建设和交通运输局、固原市生态环境局泾源分局等部门：依照各自的工作职责，做好食品安全监督管理工作。</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1.加强食品安全宣传教育，普及食品安全知识，倡导健康的饮食方式，登记备案农村集体聚餐并上报，增强消费者食品安全意识和自我保护能力；</w:t>
              <w:br/>
              <w:t>2.配合开展辖区食品、食用农产品安全监督检查。</w:t>
            </w:r>
          </w:p>
        </w:tc>
      </w:tr>
      <w:tr>
        <w:trPr>
          <w:trHeight w:val="1211"/>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91</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食品安全分级包抓管理</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县市场监督管理局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组织实施食品安全风险防控、隐患排查和专项治理。</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1.协助行业主管部门对包保食品生产经营主体进行督导；</w:t>
              <w:br/>
              <w:t>2.建立台账资料。</w:t>
            </w:r>
          </w:p>
        </w:tc>
      </w:tr>
      <w:tr>
        <w:trPr>
          <w:trHeight w:val="4193"/>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92</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农村集体聚餐食品安全管理</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县市场监督管理局</w:t>
              <w:br/>
              <w:t>县卫生健康局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县市场监督管理局：</w:t>
              <w:br/>
              <w:t>1.对集体聚餐食品安全工作进行业务指导，加强对加工制作人员的食品安全知识培训；</w:t>
              <w:br/>
              <w:t>2.加强监督检查，重点对农村集体聚餐食品食材进行检查，提醒消费者和食品经营者隔离储存非食用原料及危险化学品与食品；</w:t>
              <w:br/>
              <w:t>3.接到食品安全事故的报告后，立即会同卫生、农业以及属地乡镇进行调查处理，开展应急救援工作。</w:t>
              <w:br/>
              <w:t>县卫生健康局：</w:t>
              <w:br/>
              <w:t>1.指导医疗机构做好食品安全事故的医疗救治、流行病学调查和卫生学处置；</w:t>
              <w:br/>
              <w:t>2.加强食品安全风险监测和营养健康监测。</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1.负责农村集体聚餐信息收集、登记备案、情况上报；</w:t>
              <w:br/>
              <w:t>2.按要求进行现场指导；</w:t>
              <w:br/>
              <w:t>3.负责农村食品安全协管员以及农村集体聚餐厨师的建档、管理等工作；</w:t>
              <w:br/>
              <w:t>4.协助处置食品安全突发事件。</w:t>
            </w:r>
          </w:p>
        </w:tc>
      </w:tr>
      <w:tr>
        <w:trPr>
          <w:trHeight w:val="3165"/>
        </w:trPr>
        <w:tc>
          <w:tcPr>
            <w:tcW w:w="72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hint="eastAsia"/>
                <w:snapToGrid w:val="0"/>
                <w:color w:val="auto"/>
                <w:kern w:val="0"/>
                <w:sz w:val="21"/>
                <w:szCs w:val="21"/>
                <w:lang w:val="en-US" w:eastAsia="zh-CN"/>
              </w:rPr>
            </w:pPr>
            <w:r>
              <w:rPr>
                <w:rFonts w:ascii="Times New Roman" w:eastAsia="方正公文仿宋" w:cs="Times New Roman" w:hAnsi="Times New Roman" w:hint="eastAsia"/>
                <w:color w:val="auto"/>
                <w:lang w:val="en-US" w:eastAsia="zh-CN"/>
              </w:rPr>
              <w:t>93</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对商铺和流动摊点占道经营、无照无证经营行为的监管执法</w:t>
            </w:r>
          </w:p>
        </w:tc>
        <w:tc>
          <w:tcPr>
            <w:tcW w:w="1814"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县城乡建设和交通运输局</w:t>
              <w:br/>
              <w:t>县市场监督管理局</w:t>
              <w:br/>
              <w:t>县公安局</w:t>
              <w:br/>
              <w:t>县卫生健康局</w:t>
            </w:r>
          </w:p>
        </w:tc>
        <w:tc>
          <w:tcPr>
            <w:tcW w:w="4842"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县城乡建设和交通运输局：负责商铺和流动摊点占道经营的监督管理，负责职责范围内许可事项的监督管理。</w:t>
              <w:br/>
              <w:t>县市场监督管理局：负责查处商铺的无照经营及市场监管部门职责范围许可事项的监督管理。</w:t>
              <w:br/>
              <w:t>县公安局：负责查处治安方面及涉及公安职责范围内许可事项的监督管理。</w:t>
              <w:br/>
              <w:t>县卫生健康局：负责职责范围内许可事项的监督管理和查处违法违规行为。</w:t>
            </w:r>
          </w:p>
        </w:tc>
        <w:tc>
          <w:tcPr>
            <w:tcW w:w="48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hint="eastAsia"/>
                <w:color w:val="auto"/>
                <w:lang w:val="en-US" w:eastAsia="zh-CN"/>
              </w:rPr>
            </w:pPr>
            <w:r>
              <w:rPr>
                <w:rFonts w:ascii="Times New Roman" w:eastAsia="方正公文仿宋" w:cs="Times New Roman" w:hAnsi="Times New Roman" w:hint="eastAsia"/>
                <w:color w:val="auto"/>
                <w:lang w:val="en-US" w:eastAsia="zh-CN"/>
              </w:rPr>
              <w:t>对辖区内商铺和流动摊点占道经营情况进行日常巡查，发现不法经营行为信息及时报告有关部门处理。</w:t>
            </w:r>
          </w:p>
        </w:tc>
      </w:tr>
    </w:tbl>
    <w:p>
      <w:pPr>
        <w:pStyle w:val="1"/>
        <w:keepNext/>
        <w:keepLines/>
        <w:pageBreakBefore w:val="0"/>
        <w:widowControl/>
        <w:kinsoku/>
        <w:wordWrap/>
        <w:overflowPunct w:val="0"/>
        <w:topLinePunct w:val="0"/>
        <w:autoSpaceDE w:val="0"/>
        <w:autoSpaceDN w:val="0"/>
        <w:bidi w:val="0"/>
        <w:adjustRightInd w:val="0"/>
        <w:snapToGrid w:val="0"/>
        <w:spacing w:before="0" w:after="0" w:line="240" w:lineRule="auto"/>
        <w:jc w:val="center"/>
        <w:rPr>
          <w:rFonts w:ascii="Times New Roman" w:eastAsia="方正小标宋_GBK" w:cs="Times New Roman" w:hAnsi="Times New Roman"/>
          <w:color w:val="auto"/>
          <w:spacing w:val="7"/>
          <w:lang w:eastAsia="zh-CN"/>
        </w:rPr>
      </w:pPr>
      <w:r>
        <w:rPr>
          <w:rFonts w:ascii="Times New Roman" w:eastAsia="方正小标宋_GBK" w:cs="Times New Roman" w:hAnsi="Times New Roman"/>
          <w:color w:val="auto"/>
          <w:spacing w:val="7"/>
          <w:lang w:eastAsia="zh-CN"/>
        </w:rPr>
        <w:br w:type="page"/>
      </w:r>
      <w:bookmarkStart w:id="13" w:name="_Toc172077418"/>
      <w:bookmarkStart w:id="14" w:name="_Toc1403339036"/>
      <w:bookmarkStart w:id="15" w:name="_Toc172077553"/>
      <w:bookmarkStart w:id="16" w:name="_Toc1255498216_WPSOffice_Level1"/>
      <w:bookmarkStart w:id="17" w:name="_Toc1726347906"/>
      <w:bookmarkStart w:id="18" w:name="_Toc172077951"/>
      <w:r>
        <w:rPr>
          <w:rFonts w:ascii="Times New Roman" w:eastAsia="方正公文小标宋" w:cs="Times New Roman" w:hAnsi="Times New Roman" w:hint="eastAsia"/>
          <w:b w:val="0"/>
          <w:lang w:eastAsia="zh-CN"/>
        </w:rPr>
        <w:t>上级部门收回事项清单</w:t>
      </w:r>
      <w:bookmarkEnd w:id="13"/>
      <w:bookmarkEnd w:id="14"/>
      <w:bookmarkEnd w:id="15"/>
      <w:bookmarkEnd w:id="16"/>
      <w:bookmarkEnd w:id="17"/>
      <w:bookmarkEnd w:id="18"/>
    </w:p>
    <w:tbl>
      <w:tblPr>
        <w:jc w:val="left"/>
        <w:tblInd w:w="0" w:type="dxa"/>
        <w:tblW w:w="1404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600" w:firstRow="0" w:lastRow="0" w:firstColumn="0" w:lastColumn="0" w:noHBand="1" w:noVBand="1"/>
      </w:tblPr>
      <w:tblGrid>
        <w:gridCol w:w="726"/>
        <w:gridCol w:w="4990"/>
        <w:gridCol w:w="8329"/>
      </w:tblGrid>
      <w:tr>
        <w:trPr>
          <w:trHeight w:val="593"/>
          <w:tblHeader/>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eastAsia="方正公文黑体" w:cs="Times New Roman" w:hAnsi="Times New Roman"/>
                <w:lang w:eastAsia="zh-CN"/>
              </w:rPr>
            </w:pPr>
            <w:r>
              <w:rPr>
                <w:rFonts w:ascii="Times New Roman" w:eastAsia="方正公文黑体" w:cs="Times New Roman" w:hAnsi="Times New Roman"/>
                <w:lang w:eastAsia="zh-CN"/>
              </w:rPr>
              <w:t>序号</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eastAsia="方正公文黑体" w:cs="Times New Roman" w:hAnsi="Times New Roman"/>
                <w:lang w:eastAsia="zh-CN"/>
              </w:rPr>
            </w:pPr>
            <w:r>
              <w:rPr>
                <w:rFonts w:ascii="Times New Roman" w:eastAsia="方正公文黑体" w:cs="Times New Roman" w:hAnsi="Times New Roman"/>
                <w:lang w:eastAsia="zh-CN"/>
              </w:rPr>
              <w:t>事项名称</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eastAsia="方正公文黑体" w:cs="Times New Roman" w:hAnsi="Times New Roman"/>
                <w:lang w:eastAsia="zh-CN"/>
              </w:rPr>
            </w:pPr>
            <w:r>
              <w:rPr>
                <w:rFonts w:ascii="Times New Roman" w:eastAsia="方正公文黑体" w:cs="Times New Roman" w:hAnsi="Times New Roman"/>
                <w:lang w:eastAsia="zh-CN"/>
              </w:rPr>
              <w:t>承接部门及工作方式</w:t>
            </w:r>
          </w:p>
        </w:tc>
      </w:tr>
      <w:tr>
        <w:trPr>
          <w:trHeight w:val="482"/>
        </w:trPr>
        <w:tc>
          <w:tcPr>
            <w:tcW w:w="14045" w:type="dxa"/>
            <w:gridSpan w:val="3"/>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eastAsia="方正公文黑体" w:cs="Times New Roman" w:hAnsi="Times New Roman"/>
                <w:lang w:eastAsia="zh-CN"/>
              </w:rPr>
            </w:pPr>
            <w:r>
              <w:rPr>
                <w:rStyle w:val="25"/>
                <w:rFonts w:ascii="Times New Roman" w:eastAsia="方正公文黑体" w:cs="Times New Roman" w:hAnsi="Times New Roman"/>
                <w:color w:val="auto"/>
                <w:lang w:eastAsia="zh-CN"/>
              </w:rPr>
              <w:t>一</w:t>
            </w:r>
            <w:r>
              <w:rPr>
                <w:rStyle w:val="25"/>
                <w:rFonts w:ascii="Times New Roman" w:eastAsia="方正公文黑体" w:cs="Times New Roman" w:hAnsi="Times New Roman"/>
                <w:b w:val="0"/>
                <w:bCs w:val="0"/>
                <w:color w:val="auto"/>
                <w:lang w:eastAsia="zh-CN"/>
              </w:rPr>
              <w:t>、平安法治（</w:t>
            </w:r>
            <w:r>
              <w:rPr>
                <w:rStyle w:val="25"/>
                <w:rFonts w:ascii="Times New Roman" w:eastAsia="方正公文黑体" w:cs="Times New Roman" w:hAnsi="Times New Roman"/>
                <w:b w:val="0"/>
                <w:bCs w:val="0"/>
                <w:color w:val="auto"/>
                <w:lang w:val="en-US" w:eastAsia="zh-CN"/>
              </w:rPr>
              <w:t>1</w:t>
            </w:r>
            <w:r>
              <w:rPr>
                <w:rStyle w:val="25"/>
                <w:rFonts w:ascii="Times New Roman" w:eastAsia="方正公文黑体" w:cs="Times New Roman" w:hAnsi="Times New Roman"/>
                <w:b w:val="0"/>
                <w:bCs w:val="0"/>
                <w:color w:val="auto"/>
                <w:lang w:eastAsia="zh-CN"/>
              </w:rPr>
              <w:t>项）</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1</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开展摩托车、人力三轮车、残疾人机动轮椅及装配动力装置的无牌无证车辆管理整治工作</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县城乡建设和交通运输局：按照工作要求，开展摩托车、人力三轮车、残疾人机动轮椅及装配动力装置的无牌无证车辆管理整治工作。</w:t>
            </w:r>
          </w:p>
        </w:tc>
      </w:tr>
      <w:tr>
        <w:trPr>
          <w:trHeight w:val="482"/>
        </w:trPr>
        <w:tc>
          <w:tcPr>
            <w:tcW w:w="14045" w:type="dxa"/>
            <w:gridSpan w:val="3"/>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eastAsia="方正公文仿宋" w:cs="Times New Roman" w:hAnsi="Times New Roman"/>
                <w:lang w:eastAsia="zh-CN"/>
              </w:rPr>
            </w:pPr>
            <w:r>
              <w:rPr>
                <w:rStyle w:val="25"/>
                <w:rFonts w:ascii="Times New Roman" w:eastAsia="方正公文黑体" w:cs="Times New Roman" w:hAnsi="Times New Roman"/>
                <w:b w:val="0"/>
                <w:bCs w:val="0"/>
                <w:color w:val="auto"/>
                <w:lang w:eastAsia="zh-CN"/>
              </w:rPr>
              <w:t>二、乡村振兴（</w:t>
            </w:r>
            <w:r>
              <w:rPr>
                <w:rStyle w:val="25"/>
                <w:rFonts w:ascii="Times New Roman" w:eastAsia="方正公文黑体" w:cs="Times New Roman" w:hAnsi="Times New Roman"/>
                <w:b w:val="0"/>
                <w:bCs w:val="0"/>
                <w:color w:val="auto"/>
                <w:lang w:val="en-US" w:eastAsia="zh-CN"/>
              </w:rPr>
              <w:t>2项</w:t>
            </w:r>
            <w:r>
              <w:rPr>
                <w:rStyle w:val="25"/>
                <w:rFonts w:ascii="Times New Roman" w:eastAsia="方正公文黑体" w:cs="Times New Roman" w:hAnsi="Times New Roman"/>
                <w:b w:val="0"/>
                <w:bCs w:val="0"/>
                <w:color w:val="auto"/>
                <w:lang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2</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铁杆庄稼保、乡村振兴“健康保”、“百姓保”、惠民保等保险收缴</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县人力资源和社会保障局、县农业农村局：分别负责铁杆庄稼保、乡村振兴“健康保”、“百姓保”等保险政策宣传。</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3</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“富民贷”推广工作</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县农业农村局：按照工作要求，负责做好“富民贷”推广工作。</w:t>
            </w:r>
          </w:p>
        </w:tc>
      </w:tr>
      <w:tr>
        <w:trPr>
          <w:trHeight w:val="482"/>
        </w:trPr>
        <w:tc>
          <w:tcPr>
            <w:tcW w:w="14045" w:type="dxa"/>
            <w:gridSpan w:val="3"/>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eastAsia="方正公文仿宋" w:cs="Times New Roman" w:hAnsi="Times New Roman"/>
                <w:lang w:val="en-US" w:eastAsia="zh-CN"/>
              </w:rPr>
            </w:pPr>
            <w:r>
              <w:rPr>
                <w:rStyle w:val="25"/>
                <w:rFonts w:ascii="Times New Roman" w:eastAsia="方正公文黑体" w:cs="Times New Roman" w:hAnsi="Times New Roman"/>
                <w:b w:val="0"/>
                <w:bCs w:val="0"/>
                <w:color w:val="auto"/>
                <w:lang w:eastAsia="zh-CN"/>
              </w:rPr>
              <w:t>三、社会管理（</w:t>
            </w:r>
            <w:r>
              <w:rPr>
                <w:rStyle w:val="25"/>
                <w:rFonts w:ascii="Times New Roman" w:eastAsia="方正公文黑体" w:cs="Times New Roman" w:hAnsi="Times New Roman"/>
                <w:b w:val="0"/>
                <w:bCs w:val="0"/>
                <w:color w:val="auto"/>
                <w:lang w:val="en-US" w:eastAsia="zh-CN"/>
              </w:rPr>
              <w:t>7项</w:t>
            </w:r>
            <w:r>
              <w:rPr>
                <w:rStyle w:val="25"/>
                <w:rFonts w:ascii="Times New Roman" w:eastAsia="方正公文黑体" w:cs="Times New Roman" w:hAnsi="Times New Roman"/>
                <w:b w:val="0"/>
                <w:bCs w:val="0"/>
                <w:color w:val="auto"/>
                <w:lang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4</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就业帮扶培训</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县人力资源和社会保障局：负责组织开展就业帮扶培训。</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5</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固原市劳动力就业信息服务平台系统录入</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县人力资源和社会保障局：负责劳动力转移就业情况录入和维护及跟踪服务。</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6</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单位招用人员就业登记</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县人力资源和社会保障局：负责办理单位招用人员就业登记及相关事宜。</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7</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工伤认定调查</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县人力资源和社会保障局：负责工伤认定调查。</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8</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社会抚养费征收</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县民政和退役军人事务局：法律条款已失效，取消此项工作。</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9</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城乡供水水费收缴</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县水务局：负责委托第三方水投公司组织收缴</w:t>
            </w:r>
            <w:r>
              <w:rPr>
                <w:rFonts w:ascii="Times New Roman" w:eastAsia="方正公文仿宋" w:cs="Times New Roman" w:hAnsi="Times New Roman" w:hint="eastAsia"/>
                <w:i w:val="0"/>
                <w:snapToGrid w:val="0"/>
                <w:color w:val="000000"/>
                <w:kern w:val="0"/>
                <w:sz w:val="21"/>
                <w:szCs w:val="21"/>
                <w:u w:val="none"/>
                <w:lang w:val="en-US" w:eastAsia="zh-CN"/>
              </w:rPr>
              <w:t>水费</w:t>
            </w:r>
            <w:r>
              <w:rPr>
                <w:rFonts w:ascii="Times New Roman" w:eastAsia="方正公文仿宋" w:cs="Times New Roman" w:hAnsi="Times New Roman"/>
                <w:i w:val="0"/>
                <w:snapToGrid w:val="0"/>
                <w:color w:val="000000"/>
                <w:kern w:val="0"/>
                <w:sz w:val="21"/>
                <w:szCs w:val="21"/>
                <w:u w:val="none"/>
                <w:lang w:val="en-US" w:eastAsia="zh-CN"/>
              </w:rPr>
              <w:t>；收缴资金纳入财政专户管理。</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10</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保障农民工工资支付</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人力资源和社会保障局：负责保障农民工工资支付工作的组织协调、管理指导和农民工工资支付情况的监督检查，查处有关拖欠农民工工资案件，督促各工程建设主管部门履行行业监管责任，督办因违法发包、转包、分包、挂靠、拖欠工程款等导致的拖欠农民工工资案件。</w:t>
            </w:r>
          </w:p>
        </w:tc>
      </w:tr>
      <w:tr>
        <w:trPr>
          <w:trHeight w:val="482"/>
        </w:trPr>
        <w:tc>
          <w:tcPr>
            <w:tcW w:w="14045" w:type="dxa"/>
            <w:gridSpan w:val="3"/>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eastAsia="方正公文仿宋" w:cs="Times New Roman" w:hAnsi="Times New Roman"/>
                <w:lang w:val="en-US" w:eastAsia="zh-CN"/>
              </w:rPr>
            </w:pPr>
            <w:r>
              <w:rPr>
                <w:rStyle w:val="25"/>
                <w:rFonts w:ascii="Times New Roman" w:eastAsia="方正公文黑体" w:cs="Times New Roman" w:hAnsi="Times New Roman"/>
                <w:b w:val="0"/>
                <w:bCs w:val="0"/>
                <w:color w:val="auto"/>
                <w:lang w:eastAsia="zh-CN"/>
              </w:rPr>
              <w:t>四、社会保障（</w:t>
            </w:r>
            <w:r>
              <w:rPr>
                <w:rStyle w:val="25"/>
                <w:rFonts w:ascii="Times New Roman" w:eastAsia="方正公文黑体" w:cs="Times New Roman" w:hAnsi="Times New Roman"/>
                <w:b w:val="0"/>
                <w:bCs w:val="0"/>
                <w:color w:val="auto"/>
                <w:lang w:val="en-US" w:eastAsia="zh-CN"/>
              </w:rPr>
              <w:t>6项</w:t>
            </w:r>
            <w:r>
              <w:rPr>
                <w:rStyle w:val="25"/>
                <w:rFonts w:ascii="Times New Roman" w:eastAsia="方正公文黑体" w:cs="Times New Roman" w:hAnsi="Times New Roman"/>
                <w:b w:val="0"/>
                <w:bCs w:val="0"/>
                <w:color w:val="auto"/>
                <w:lang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11</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城乡居民基本医疗保险已缴费人员统计</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县人力资源和社会保障局：负责城乡居民基本医疗保险已缴费人员统计。</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12</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对擅自新建殡葬设施的处罚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县民政和退役军人事务局：负责对未经批准擅自兴建殡葬设施行为的监督管理，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13</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对采取虚报、隐瞒、伪造等手段，骗取享受城乡居民最低生活保障待遇等情形的处罚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县民政和退役军人事务局：负责对采取虚报、隐瞒、伪造等手段，骗取享受城乡居民最低生活保障待遇等情形监督管理，发现上述行为依法予以查处。</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14</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每季度统计全乡新婚人数</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县民政和退役军人事务局：负责新婚人数统计。</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15</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对特困人员生活自理能力评估</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县民政和退役军人事务局：对特困人员生活自理能力进行评估。</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16</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对违规领取各类社会救助资金的追缴工作</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县民政和退役军人事务局：负责对违规领取各类社会救助资金的追缴工作。</w:t>
            </w:r>
          </w:p>
        </w:tc>
      </w:tr>
      <w:tr>
        <w:trPr>
          <w:trHeight w:val="482"/>
        </w:trPr>
        <w:tc>
          <w:tcPr>
            <w:tcW w:w="14045" w:type="dxa"/>
            <w:gridSpan w:val="3"/>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eastAsia="方正公文仿宋" w:cs="Times New Roman" w:hAnsi="Times New Roman"/>
                <w:lang w:eastAsia="zh-CN"/>
              </w:rPr>
            </w:pPr>
            <w:r>
              <w:rPr>
                <w:rStyle w:val="25"/>
                <w:rFonts w:ascii="Times New Roman" w:eastAsia="方正公文黑体" w:cs="Times New Roman" w:hAnsi="Times New Roman"/>
                <w:b w:val="0"/>
                <w:bCs w:val="0"/>
                <w:color w:val="auto"/>
                <w:lang w:eastAsia="zh-CN"/>
              </w:rPr>
              <w:t>五、自然资源（</w:t>
            </w:r>
            <w:r>
              <w:rPr>
                <w:rStyle w:val="25"/>
                <w:rFonts w:ascii="Times New Roman" w:eastAsia="方正公文黑体" w:cs="Times New Roman" w:hAnsi="Times New Roman"/>
                <w:b w:val="0"/>
                <w:bCs w:val="0"/>
                <w:color w:val="auto"/>
                <w:lang w:val="en-US" w:eastAsia="zh-CN"/>
              </w:rPr>
              <w:t>26项</w:t>
            </w:r>
            <w:r>
              <w:rPr>
                <w:rStyle w:val="25"/>
                <w:rFonts w:ascii="Times New Roman" w:eastAsia="方正公文黑体" w:cs="Times New Roman" w:hAnsi="Times New Roman"/>
                <w:b w:val="0"/>
                <w:bCs w:val="0"/>
                <w:color w:val="auto"/>
                <w:lang w:eastAsia="zh-CN"/>
              </w:rPr>
              <w:t>）</w:t>
            </w:r>
          </w:p>
        </w:tc>
      </w:tr>
      <w:tr>
        <w:trPr>
          <w:trHeight w:val="90"/>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17</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耕地属性判定、基本农田区域划定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县自然资源局：负责会同农业农村局组织实施耕地属性判定、基本农田区域划定。</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18</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对在草原管理、保护、建设、合理利用和科学研究等工作中做出显著成绩的单位和个人的奖励</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县林业和草原局：负责对在草原管理、保护、建设、合理利用和科学研究等工作中做出显著成绩的单位和个人的奖励。</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19</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出具群众苗木种植情况、树木种类、苗木销售、苗木检疫等证明</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县林业和草原局：</w:t>
            </w:r>
            <w:r>
              <w:rPr>
                <w:rFonts w:ascii="Times New Roman" w:eastAsia="方正公文仿宋" w:cs="Times New Roman" w:hAnsi="Times New Roman"/>
                <w:i w:val="0"/>
                <w:snapToGrid w:val="0"/>
                <w:color w:val="000000"/>
                <w:kern w:val="0"/>
                <w:sz w:val="21"/>
                <w:szCs w:val="21"/>
                <w:u w:val="none"/>
                <w:lang w:val="en-US" w:eastAsia="zh-CN"/>
              </w:rPr>
              <w:t>负责出具群众苗木种植情况、树木种类、苗木销售、苗木检疫等证明。</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20</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对林业有害生物的监测、检疫、防治</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县林业和草原局：负责对林业有害生物的监测、检疫、防治。</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21</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代为恢复植被和林业生产条件或代为补种树木</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县林业和草原局：负责代为恢复植被和林业生产条件或代为补种树木。</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22</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水工程安全管理监督检查（对水库大坝的定期检查和监督管理）</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县水务局：做好水工程领域水库大坝的定期检查和监督管理。</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sz w:val="21"/>
                <w:szCs w:val="21"/>
                <w:lang w:eastAsia="zh-CN"/>
              </w:rPr>
            </w:pPr>
            <w:r>
              <w:rPr>
                <w:rFonts w:ascii="Times New Roman" w:eastAsia="方正公文仿宋" w:cs="Times New Roman" w:hAnsi="Times New Roman"/>
                <w:i w:val="0"/>
                <w:snapToGrid w:val="0"/>
                <w:color w:val="auto"/>
                <w:kern w:val="0"/>
                <w:sz w:val="21"/>
                <w:szCs w:val="21"/>
                <w:u w:val="none"/>
                <w:lang w:val="en-US" w:eastAsia="zh-CN"/>
              </w:rPr>
              <w:t>23</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auto"/>
                <w:kern w:val="0"/>
                <w:sz w:val="21"/>
                <w:szCs w:val="21"/>
                <w:u w:val="none"/>
                <w:lang w:val="en-US" w:eastAsia="zh-CN"/>
              </w:rPr>
            </w:pPr>
            <w:r>
              <w:rPr>
                <w:rFonts w:ascii="Times New Roman" w:eastAsia="方正公文仿宋" w:cs="Times New Roman" w:hAnsi="Times New Roman" w:hint="eastAsia"/>
                <w:i w:val="0"/>
                <w:snapToGrid w:val="0"/>
                <w:color w:val="auto"/>
                <w:kern w:val="0"/>
                <w:sz w:val="21"/>
                <w:szCs w:val="21"/>
                <w:u w:val="none"/>
                <w:lang w:val="en-US" w:eastAsia="zh-CN"/>
              </w:rPr>
              <w:t>对临时建设和临时用地的监督检查</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县自然资源局：加强对临时建设和临时用地的监督检查。</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color w:val="auto"/>
                <w:sz w:val="21"/>
                <w:szCs w:val="21"/>
                <w:lang w:eastAsia="zh-CN"/>
              </w:rPr>
            </w:pPr>
            <w:r>
              <w:rPr>
                <w:rFonts w:ascii="Times New Roman" w:eastAsia="方正公文仿宋" w:cs="Times New Roman" w:hAnsi="Times New Roman"/>
                <w:i w:val="0"/>
                <w:snapToGrid w:val="0"/>
                <w:color w:val="auto"/>
                <w:kern w:val="0"/>
                <w:sz w:val="21"/>
                <w:szCs w:val="21"/>
                <w:u w:val="none"/>
                <w:lang w:val="en-US" w:eastAsia="zh-CN"/>
              </w:rPr>
              <w:t>24</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auto"/>
                <w:kern w:val="0"/>
                <w:sz w:val="21"/>
                <w:szCs w:val="21"/>
                <w:u w:val="none"/>
                <w:lang w:val="en-US" w:eastAsia="zh-CN"/>
              </w:rPr>
            </w:pPr>
            <w:r>
              <w:rPr>
                <w:rFonts w:ascii="Times New Roman" w:eastAsia="方正公文仿宋" w:cs="Times New Roman" w:hAnsi="Times New Roman" w:hint="eastAsia"/>
                <w:i w:val="0"/>
                <w:snapToGrid w:val="0"/>
                <w:color w:val="auto"/>
                <w:kern w:val="0"/>
                <w:sz w:val="21"/>
                <w:szCs w:val="21"/>
                <w:u w:val="none"/>
                <w:lang w:val="en-US" w:eastAsia="zh-CN"/>
              </w:rPr>
              <w:t>对非法占用土地的处罚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县农业农村局：负责对非法占用土地行为的监督管理，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25</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对破坏或者擅自改变基本农田保护区标志的处罚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县自然资源局：负责对破坏或者擅自改变基本农田保护区标志的违法行为监管，</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26</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对在森林防火期、森林防火区内擅自野外用火行为的处罚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县林业和草原局：负责对在森林防火期、森林防火区内擅自野外用火行为的监督管理，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27</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对禁牧期和禁牧区域放牧或者休牧期、轮牧区抢牧、滥牧的处罚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县林业和草原局：负责对禁牧期和禁牧区域放牧或者休牧期、轮牧区抢牧、滥牧行为的监督管理，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28</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对临时占用林地逾期不归还行为的处罚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县林业和草原局：负责对临时占用林地逾期不归还行为的监督管理，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29</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对收购没有林木采伐许可证或者其他合法来源证明的木材行为的处罚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县林业和草原局：负责对收购没有林木采伐许可证或者其他合法来源证明的木材行为的监督管理，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30</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对未采取防沙治沙措施造成土地严重沙化行为的处罚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县林业和草原局：负责对未采取防沙治沙措施造成土地严重沙化行为的监督管理，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31</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对在幼林地砍柴、毁苗、放牧造成林木毁坏行为的处罚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县林业和草原局：负责对在幼林地砍柴、毁苗、放牧造成林木毁坏行为的监督管理，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32</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对围湖造地或者未经批准围垦河道阻碍行洪等行为的处罚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县水务局：负责对围湖造地或者未经批准围垦河道阻碍行洪等行为的监督管理，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33</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对未经批准擅自取水或未依照批准的取水许可规定条件取水的处罚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县水务局：负责对未经批准擅自取水或未依照批准的取水许可规定条件取水行为的监督管理，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34</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对侵占、毁坏水工程及水利设施、从事影响水利工程安全行为的处罚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县水务局：负责对侵占、毁坏水工程及水利设施、从事影响水利工程安全行为的监督管理，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35</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对侵占、破坏水源和抗旱设施行为的处罚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县水务局：负责对侵占、破坏水源和抗旱设施行为的监督管理，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36</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对单位和个人占用行水、蓄水区域或因生产、集市贸易或者其它活动使行洪沟道成为通行道行为的处罚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县水务局：负责对单位和个人占用行水、蓄水区域或因生产、集市贸易或者其他活动使行洪沟道成为通行道行为的监督管理，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37</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对未经批准，擅自在水工程管理范围内开采地下资源或者进行考古发掘等行为的处罚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县水务局：负责对未经批准，擅自在水工程管理范围内开采地下资源或者进行考古发掘等行为的监督管理，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38</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对在崩塌、滑坡危险区或者泥石流易发区从事取土、挖砂、采石等可能造成水土流失的行为的处罚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县水务局：负责对在崩塌、滑坡危险区或者泥石流易发区从事取土、挖砂、采石等可能造成水土流失的行为的监督管理，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39</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对在禁止开垦坡度以上陡坡地开垦种植农作物或者在禁止开垦、开发的植物保护带内开垦、开发行为的处罚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县水务局：负责对在禁止开垦坡度以上陡坡地开垦种植农作物或者在禁止开垦、开发的植物保护带内开垦、开发行为的监督管理，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40</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对采集发菜或者在水土流失重点预防区和重点治理区铲草皮、挖树兜、滥挖虫草、甘草、麻黄等行为的处罚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县水务局：负责对采集发菜或者在水土流失重点预防区和重点治理区铲草皮、挖树兜、滥挖虫草、甘草、麻黄等行为的监督管理，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41</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对在河流、湖泊、水库、渠道以及专门存放地以外的沟道倾倒固体废弃物的处罚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县水务局：负责对在河流、湖泊、水库、渠道以及专门存放地以外的沟道倾倒固体废弃物行为的监督管理，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42</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拆除禁牧区域内私搭乱建羊圈</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县林业和草原局：负责拆除禁牧区域内私搭乱建羊圈。</w:t>
            </w:r>
          </w:p>
        </w:tc>
      </w:tr>
      <w:tr>
        <w:trPr>
          <w:trHeight w:val="482"/>
        </w:trPr>
        <w:tc>
          <w:tcPr>
            <w:tcW w:w="14045" w:type="dxa"/>
            <w:gridSpan w:val="3"/>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eastAsia="方正公文仿宋" w:cs="Times New Roman" w:hAnsi="Times New Roman"/>
                <w:lang w:eastAsia="zh-CN"/>
              </w:rPr>
            </w:pPr>
            <w:r>
              <w:rPr>
                <w:rStyle w:val="25"/>
                <w:rFonts w:ascii="Times New Roman" w:eastAsia="方正公文黑体" w:cs="Times New Roman" w:hAnsi="Times New Roman"/>
                <w:b w:val="0"/>
                <w:bCs w:val="0"/>
                <w:color w:val="auto"/>
                <w:lang w:eastAsia="zh-CN"/>
              </w:rPr>
              <w:t>六、生态环保（</w:t>
            </w:r>
            <w:r>
              <w:rPr>
                <w:rStyle w:val="25"/>
                <w:rFonts w:ascii="Times New Roman" w:eastAsia="方正公文黑体" w:cs="Times New Roman" w:hAnsi="Times New Roman"/>
                <w:b w:val="0"/>
                <w:bCs w:val="0"/>
                <w:color w:val="auto"/>
                <w:lang w:val="en-US" w:eastAsia="zh-CN"/>
              </w:rPr>
              <w:t>10项</w:t>
            </w:r>
            <w:r>
              <w:rPr>
                <w:rStyle w:val="25"/>
                <w:rFonts w:ascii="Times New Roman" w:eastAsia="方正公文黑体" w:cs="Times New Roman" w:hAnsi="Times New Roman"/>
                <w:b w:val="0"/>
                <w:bCs w:val="0"/>
                <w:color w:val="auto"/>
                <w:lang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43</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国省干线用地范围内环境整治</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宁夏公路管理中心固原分中心：按照工作要求，对国省干线用地范围内环境整治。</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44</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河道私设排污口监管</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固原市生态环境局泾源分局：负责本行政区域入河排污口设置审批、登记和监督管理。</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45</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辖区内蓄水池、水源、河道维护清淤工作</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县水务局：</w:t>
            </w:r>
            <w:r>
              <w:rPr>
                <w:rFonts w:ascii="Times New Roman" w:eastAsia="方正公文仿宋" w:cs="Times New Roman" w:hAnsi="Times New Roman" w:hint="eastAsia"/>
                <w:i w:val="0"/>
                <w:snapToGrid w:val="0"/>
                <w:color w:val="auto"/>
                <w:kern w:val="0"/>
                <w:sz w:val="21"/>
                <w:szCs w:val="21"/>
                <w:u w:val="none"/>
                <w:lang w:val="en-US" w:eastAsia="zh-CN"/>
              </w:rPr>
              <w:t>负责</w:t>
            </w:r>
            <w:r>
              <w:rPr>
                <w:rFonts w:ascii="Times New Roman" w:eastAsia="方正公文仿宋" w:cs="Times New Roman" w:hAnsi="Times New Roman" w:hint="eastAsia"/>
                <w:i w:val="0"/>
                <w:snapToGrid w:val="0"/>
                <w:color w:val="000000"/>
                <w:kern w:val="0"/>
                <w:sz w:val="21"/>
                <w:szCs w:val="21"/>
                <w:u w:val="none"/>
                <w:lang w:val="en-US" w:eastAsia="zh-CN"/>
              </w:rPr>
              <w:t>对河道清淤项目的招投标；组织实施清淤项目；监督检查施工进度；完成清淤项目验收及资金兑付。</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46</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燃煤锅炉、工业窑炉排查整治</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固原市生态环境局泾源分局：组织开展排查，研究制定排查整治实施方案，明确排查范围、标准，整治工作计划、技术路线、经费保障等并组织实施。</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47</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清理企业违法违规产能</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县工业信息化和商务局：按照职责分工负责组织开展清理违法违规产能，明确淘汰和落后过剩产能标准并列出名单，依法依规对行政许可手续不全、责令整改不达标的企业予以查处。</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48</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非道路移动机械编码登记</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固原市生态环境局泾源分局：负责开展辖区内非道路机械摸排、登记工作。</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49</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辖区施工企业环境卫生备案</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县城乡建设和交通运输局：负责开展施工企业环境卫生备案工作。</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50</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对在县级以上人民政府划定区域内露天焚烧秸秆、落叶、枯草等产生烟尘污染的物质的处罚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县农业农村局：负责对在县级以上人民政府划定区域内露天焚烧秸秆、落叶、枯草等产生烟尘污染的物质行为的监督管理，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51</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建设项目环境保护设施竣工验收</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固原市生态环境局泾源分局：法律条款已失效，取消此项工作。</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52</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防治污染设施的拆除或闲置批准</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固原市生态环境局泾源分局：法律条款已失效，取消此项工作。</w:t>
            </w:r>
          </w:p>
        </w:tc>
      </w:tr>
      <w:tr>
        <w:trPr>
          <w:trHeight w:val="482"/>
        </w:trPr>
        <w:tc>
          <w:tcPr>
            <w:tcW w:w="14045" w:type="dxa"/>
            <w:gridSpan w:val="3"/>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eastAsia="方正公文仿宋" w:cs="Times New Roman" w:hAnsi="Times New Roman"/>
                <w:lang w:eastAsia="zh-CN"/>
              </w:rPr>
            </w:pPr>
            <w:r>
              <w:rPr>
                <w:rStyle w:val="25"/>
                <w:rFonts w:ascii="Times New Roman" w:eastAsia="方正公文黑体" w:cs="Times New Roman" w:hAnsi="Times New Roman"/>
                <w:b w:val="0"/>
                <w:bCs w:val="0"/>
                <w:color w:val="auto"/>
                <w:lang w:eastAsia="zh-CN"/>
              </w:rPr>
              <w:t>七、城乡建设（</w:t>
            </w:r>
            <w:r>
              <w:rPr>
                <w:rStyle w:val="25"/>
                <w:rFonts w:ascii="Times New Roman" w:eastAsia="方正公文黑体" w:cs="Times New Roman" w:hAnsi="Times New Roman" w:hint="eastAsia"/>
                <w:b w:val="0"/>
                <w:bCs w:val="0"/>
                <w:color w:val="auto"/>
                <w:lang w:val="en-US" w:eastAsia="zh-CN"/>
              </w:rPr>
              <w:t>15</w:t>
            </w:r>
            <w:r>
              <w:rPr>
                <w:rStyle w:val="25"/>
                <w:rFonts w:ascii="Times New Roman" w:eastAsia="方正公文黑体" w:cs="Times New Roman" w:hAnsi="Times New Roman"/>
                <w:b w:val="0"/>
                <w:bCs w:val="0"/>
                <w:color w:val="auto"/>
                <w:lang w:val="en-US" w:eastAsia="zh-CN"/>
              </w:rPr>
              <w:t>项</w:t>
            </w:r>
            <w:r>
              <w:rPr>
                <w:rStyle w:val="25"/>
                <w:rFonts w:ascii="Times New Roman" w:eastAsia="方正公文黑体" w:cs="Times New Roman" w:hAnsi="Times New Roman"/>
                <w:b w:val="0"/>
                <w:bCs w:val="0"/>
                <w:color w:val="auto"/>
                <w:lang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53</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旅游厕所建设和管理</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县文化旅游广电局：负责配备专门人员、资金等对旅游公厕进行管理和建设。</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54</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辖区农村公路施工活动审批</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县城乡建设和交通运输局：负责做好辖区农村公路施工活动审批工作。</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55</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对临时建筑物、构筑物和其他设施限期拆除期满仍不拆除的强制拆除</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县自然资源局：负责对临时建筑物、构筑物和其他设施限期拆除期满仍不拆除的强制拆除。</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56</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对建设单位和个人未经批准进行临时建设、未按照批准内容进行临时建设、临时建筑物、构筑物超过批准权限不拆除的处罚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县自然资源局：负责对建设单位和个人未经批准进行临时建设、未按照批准内容进行临时建设、临时建筑物、构筑物超过批准权限不拆除等行为的监督管理，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57</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对未取得建设工程规划许可证或者未按照建设工程规划许可证的规定进行建设的处罚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县自然资源局：负责对未取得建设工程规划许可证或者未按照建设工程规划许可证的规定进行建设的行为的监督管理，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703"/>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58</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对随意倾倒、抛洒、堆放城市生活垃圾的处罚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县城乡建设和交通运输局：负责对随意倾倒、抛洒、堆放城市生活垃圾等行为的监督管理，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59</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对从事城市生活垃圾经营性清扫、收集、运输的企业在运输过程中沿途丢弃、遗撒生活垃圾的处罚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县城乡建设和交通运输局：负责对从事城市生活垃圾经营性清扫、收集、运输的企业在运输过程中沿途丢弃、遗撒生活垃圾等行为的监督管理，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60</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对物业服务企业将一个物业管理区域内的全部物业管理一并委托给他人的处罚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县城乡建设和交通运输局：负责对物业服务企业将一个物业管理区域内的全部物业管理一并委托给他人行为的监督管理，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61</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对建筑垃圾储运消纳场受纳工业垃圾、生活垃圾和有毒有害垃圾的处罚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县城乡建设和交通运输局：负责对建筑垃圾储运消纳场受纳工业垃圾、生活垃圾和有毒有害垃圾行为的监督管理，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62</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对施工单位未及时清运工程施工过程中产生的建筑垃圾的处罚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县城乡建设和交通运输局：负责对施工单位未及时清运工程施工过程中产生的建筑垃圾行为的监督管理，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63</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对单位和个人随意倾倒、抛撒或者堆放建筑垃圾的处罚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县城乡建设和交通运输局：负责对单位和个人随意倾倒、抛撒或者堆放建筑垃圾行为的监督管理，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64</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对在运输建筑垃圾过程中沿途丢弃、遗撒建筑垃圾的处罚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县城乡建设和交通运输局：负责对在运输建筑垃圾过程中沿途丢弃、遗撒建筑垃圾行为的监督管理，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65</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对擅自拆除、迁移环境卫生设施的处罚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县城乡建设和交通运输局：负责对擅自拆除、迁移环境卫生设施行为的监督管理，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66</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城乡建设和交通运输局：负责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等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67</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对在公共场所随地吐痰、擤鼻涕、便溺的；单位或者个人违反《城市市容和环境卫生管理条例》规定，在市区内饲养家畜家禽的处罚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县城乡建设和交通运输局：负责对在公共场所随地吐痰、擤鼻涕、便溺的；单位或者个人违反《城市市容和环境卫生管理条例》规定，在市区内饲养家畜家禽的等行为的监督管理，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482"/>
        </w:trPr>
        <w:tc>
          <w:tcPr>
            <w:tcW w:w="14045" w:type="dxa"/>
            <w:gridSpan w:val="3"/>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eastAsia="方正公文仿宋" w:cs="Times New Roman" w:hAnsi="Times New Roman"/>
                <w:lang w:eastAsia="zh-CN"/>
              </w:rPr>
            </w:pPr>
            <w:r>
              <w:rPr>
                <w:rStyle w:val="25"/>
                <w:rFonts w:ascii="Times New Roman" w:eastAsia="方正公文黑体" w:cs="Times New Roman" w:hAnsi="Times New Roman"/>
                <w:b w:val="0"/>
                <w:bCs w:val="0"/>
                <w:color w:val="auto"/>
                <w:lang w:eastAsia="zh-CN"/>
              </w:rPr>
              <w:t>八、卫生健康（</w:t>
            </w:r>
            <w:r>
              <w:rPr>
                <w:rStyle w:val="25"/>
                <w:rFonts w:ascii="Times New Roman" w:eastAsia="方正公文黑体" w:cs="Times New Roman" w:hAnsi="Times New Roman"/>
                <w:b w:val="0"/>
                <w:bCs w:val="0"/>
                <w:color w:val="auto"/>
                <w:lang w:val="en-US" w:eastAsia="zh-CN"/>
              </w:rPr>
              <w:t>1项</w:t>
            </w:r>
            <w:r>
              <w:rPr>
                <w:rStyle w:val="25"/>
                <w:rFonts w:ascii="Times New Roman" w:eastAsia="方正公文黑体" w:cs="Times New Roman" w:hAnsi="Times New Roman"/>
                <w:b w:val="0"/>
                <w:bCs w:val="0"/>
                <w:color w:val="auto"/>
                <w:lang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68</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对在禁止吸烟场所吸烟的处罚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i w:val="0"/>
                <w:snapToGrid w:val="0"/>
                <w:color w:val="000000"/>
                <w:kern w:val="0"/>
                <w:sz w:val="21"/>
                <w:szCs w:val="21"/>
                <w:u w:val="none"/>
                <w:lang w:val="en-US" w:eastAsia="zh-CN"/>
              </w:rPr>
              <w:t>县卫生健康局：负责对在禁止吸烟场所吸烟等行为的监督管理，发现上述行为依法予以查处。</w:t>
            </w:r>
          </w:p>
        </w:tc>
      </w:tr>
      <w:tr>
        <w:trPr>
          <w:trHeight w:val="482"/>
        </w:trPr>
        <w:tc>
          <w:tcPr>
            <w:tcW w:w="14045" w:type="dxa"/>
            <w:gridSpan w:val="3"/>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eastAsia="方正公文仿宋" w:cs="Times New Roman" w:hAnsi="Times New Roman"/>
                <w:lang w:eastAsia="zh-CN"/>
              </w:rPr>
            </w:pPr>
            <w:r>
              <w:rPr>
                <w:rStyle w:val="25"/>
                <w:rFonts w:ascii="Times New Roman" w:eastAsia="方正公文黑体" w:cs="Times New Roman" w:hAnsi="Times New Roman"/>
                <w:b w:val="0"/>
                <w:bCs w:val="0"/>
                <w:color w:val="auto"/>
                <w:lang w:eastAsia="zh-CN"/>
              </w:rPr>
              <w:t>九、应急管理及消防（</w:t>
            </w:r>
            <w:r>
              <w:rPr>
                <w:rStyle w:val="25"/>
                <w:rFonts w:ascii="Times New Roman" w:eastAsia="方正公文黑体" w:cs="Times New Roman" w:hAnsi="Times New Roman"/>
                <w:b w:val="0"/>
                <w:bCs w:val="0"/>
                <w:color w:val="auto"/>
                <w:lang w:val="en-US" w:eastAsia="zh-CN"/>
              </w:rPr>
              <w:t>9项</w:t>
            </w:r>
            <w:r>
              <w:rPr>
                <w:rStyle w:val="25"/>
                <w:rFonts w:ascii="Times New Roman" w:eastAsia="方正公文黑体" w:cs="Times New Roman" w:hAnsi="Times New Roman"/>
                <w:b w:val="0"/>
                <w:bCs w:val="0"/>
                <w:color w:val="auto"/>
                <w:lang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lang w:val="en-US" w:eastAsia="zh-CN"/>
              </w:rPr>
            </w:pPr>
            <w:r>
              <w:rPr>
                <w:rFonts w:ascii="Times New Roman" w:eastAsia="方正公文仿宋" w:cs="Times New Roman" w:hAnsi="Times New Roman"/>
                <w:i w:val="0"/>
                <w:snapToGrid w:val="0"/>
                <w:color w:val="000000"/>
                <w:kern w:val="0"/>
                <w:sz w:val="21"/>
                <w:szCs w:val="21"/>
                <w:u w:val="none"/>
                <w:lang w:val="en-US" w:eastAsia="zh-CN"/>
              </w:rPr>
              <w:t>69</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危险化学品排查整治</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县应急管理局：负责加强危险化学品安全监管。</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val="en-US" w:eastAsia="zh-CN"/>
              </w:rPr>
            </w:pPr>
            <w:r>
              <w:rPr>
                <w:rFonts w:ascii="Times New Roman" w:eastAsia="方正公文仿宋" w:cs="Times New Roman" w:hAnsi="Times New Roman"/>
                <w:i w:val="0"/>
                <w:snapToGrid w:val="0"/>
                <w:color w:val="000000"/>
                <w:kern w:val="0"/>
                <w:sz w:val="21"/>
                <w:szCs w:val="21"/>
                <w:u w:val="none"/>
                <w:lang w:val="en-US" w:eastAsia="zh-CN"/>
              </w:rPr>
              <w:t>70</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建立微型消防站</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县消防救援大队：负责建立微型消防站。</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val="en-US" w:eastAsia="zh-CN"/>
              </w:rPr>
            </w:pPr>
            <w:r>
              <w:rPr>
                <w:rFonts w:ascii="Times New Roman" w:eastAsia="方正公文仿宋" w:cs="Times New Roman" w:hAnsi="Times New Roman"/>
                <w:i w:val="0"/>
                <w:snapToGrid w:val="0"/>
                <w:color w:val="000000"/>
                <w:kern w:val="0"/>
                <w:sz w:val="21"/>
                <w:szCs w:val="21"/>
                <w:u w:val="none"/>
                <w:lang w:val="en-US" w:eastAsia="zh-CN"/>
              </w:rPr>
              <w:t>71</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对粉尘涉爆企业实施安全监督管理</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县应急管理局：负责对粉尘涉爆企业实施安全监督管理。</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val="en-US" w:eastAsia="zh-CN"/>
              </w:rPr>
            </w:pPr>
            <w:r>
              <w:rPr>
                <w:rFonts w:ascii="Times New Roman" w:eastAsia="方正公文仿宋" w:cs="Times New Roman" w:hAnsi="Times New Roman"/>
                <w:i w:val="0"/>
                <w:snapToGrid w:val="0"/>
                <w:color w:val="000000"/>
                <w:kern w:val="0"/>
                <w:sz w:val="21"/>
                <w:szCs w:val="21"/>
                <w:u w:val="none"/>
                <w:lang w:val="en-US" w:eastAsia="zh-CN"/>
              </w:rPr>
              <w:t>72</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对占用、堵塞、封闭疏散通道、安全出口或者有其他妨碍安全疏散行为的处罚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县消防救援大队：负责对占用、堵塞、封闭疏散通道、安全出口或者有其他妨碍安全疏散等行为的监督管理，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val="en-US" w:eastAsia="zh-CN"/>
              </w:rPr>
            </w:pPr>
            <w:r>
              <w:rPr>
                <w:rFonts w:ascii="Times New Roman" w:eastAsia="方正公文仿宋" w:cs="Times New Roman" w:hAnsi="Times New Roman"/>
                <w:i w:val="0"/>
                <w:snapToGrid w:val="0"/>
                <w:color w:val="000000"/>
                <w:kern w:val="0"/>
                <w:sz w:val="21"/>
                <w:szCs w:val="21"/>
                <w:u w:val="none"/>
                <w:lang w:val="en-US" w:eastAsia="zh-CN"/>
              </w:rPr>
              <w:t>73</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对埋压、圈占、遮挡消火栓或者占用防火间距的处罚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县消防救援大队：负责对埋压、圈占、遮挡消火栓或者占用防火间距等行为的监督管理，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val="en-US" w:eastAsia="zh-CN"/>
              </w:rPr>
            </w:pPr>
            <w:r>
              <w:rPr>
                <w:rFonts w:ascii="Times New Roman" w:eastAsia="方正公文仿宋" w:cs="Times New Roman" w:hAnsi="Times New Roman"/>
                <w:i w:val="0"/>
                <w:snapToGrid w:val="0"/>
                <w:color w:val="000000"/>
                <w:kern w:val="0"/>
                <w:sz w:val="21"/>
                <w:szCs w:val="21"/>
                <w:u w:val="none"/>
                <w:lang w:val="en-US" w:eastAsia="zh-CN"/>
              </w:rPr>
              <w:t>74</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对占用、堵塞、封闭消防车通道、妨碍消防车通行的处罚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县消防救援大队：负责对占用、堵塞、封闭消防车通道、妨碍消防车通行等行为的监督管理，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val="en-US" w:eastAsia="zh-CN"/>
              </w:rPr>
            </w:pPr>
            <w:r>
              <w:rPr>
                <w:rFonts w:ascii="Times New Roman" w:eastAsia="方正公文仿宋" w:cs="Times New Roman" w:hAnsi="Times New Roman"/>
                <w:i w:val="0"/>
                <w:snapToGrid w:val="0"/>
                <w:color w:val="000000"/>
                <w:kern w:val="0"/>
                <w:sz w:val="21"/>
                <w:szCs w:val="21"/>
                <w:u w:val="none"/>
                <w:lang w:val="en-US" w:eastAsia="zh-CN"/>
              </w:rPr>
              <w:t>75</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对人员密集场所在门窗上设置影响疏散逃生和灭火救援的障碍物的处罚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县消防救援大队：负责对人员密集场所在门窗上设置影响疏散逃生和灭火救援的障碍物等行为的监督管理，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val="en-US" w:eastAsia="zh-CN"/>
              </w:rPr>
            </w:pPr>
            <w:r>
              <w:rPr>
                <w:rFonts w:ascii="Times New Roman" w:eastAsia="方正公文仿宋" w:cs="Times New Roman" w:hAnsi="Times New Roman"/>
                <w:i w:val="0"/>
                <w:snapToGrid w:val="0"/>
                <w:color w:val="000000"/>
                <w:kern w:val="0"/>
                <w:sz w:val="21"/>
                <w:szCs w:val="21"/>
                <w:u w:val="none"/>
                <w:lang w:val="en-US" w:eastAsia="zh-CN"/>
              </w:rPr>
              <w:t>76</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对在高层民用建筑的公共门厅、疏散走道、楼梯间、安全出口停放电动自行车或者为电动自行车充电，拒不改正的处罚</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县消防救援大队：负责对在高层民用建筑的公共门厅、疏散走道、楼梯间、安全出口停放电动自行车或者为电动自行车充电，拒不改正等行为的监督管理，</w:t>
            </w:r>
            <w:r>
              <w:rPr>
                <w:rFonts w:ascii="Times New Roman" w:eastAsia="方正公文仿宋" w:cs="Times New Roman" w:hAnsi="Times New Roman"/>
                <w:i w:val="0"/>
                <w:snapToGrid w:val="0"/>
                <w:color w:val="000000"/>
                <w:kern w:val="0"/>
                <w:sz w:val="21"/>
                <w:szCs w:val="21"/>
                <w:u w:val="none"/>
                <w:lang w:eastAsia="zh-CN"/>
              </w:rPr>
              <w:t>发现上述违法行为依法予以查处</w:t>
            </w:r>
            <w:r>
              <w:rPr>
                <w:rFonts w:ascii="Times New Roman" w:eastAsia="方正公文仿宋" w:cs="Times New Roman" w:hAnsi="Times New Roman" w:hint="eastAsia"/>
                <w:i w:val="0"/>
                <w:snapToGrid w:val="0"/>
                <w:color w:val="000000"/>
                <w:kern w:val="0"/>
                <w:sz w:val="21"/>
                <w:szCs w:val="21"/>
                <w:u w:val="none"/>
                <w:lang w:val="en-US"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val="en-US" w:eastAsia="zh-CN"/>
              </w:rPr>
            </w:pPr>
            <w:r>
              <w:rPr>
                <w:rFonts w:ascii="Times New Roman" w:eastAsia="方正公文仿宋" w:cs="Times New Roman" w:hAnsi="Times New Roman"/>
                <w:i w:val="0"/>
                <w:snapToGrid w:val="0"/>
                <w:color w:val="000000"/>
                <w:kern w:val="0"/>
                <w:sz w:val="21"/>
                <w:szCs w:val="21"/>
                <w:u w:val="none"/>
                <w:lang w:val="en-US" w:eastAsia="zh-CN"/>
              </w:rPr>
              <w:t>77</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对辖区内加油站开展安全生产检查</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县应急管理局、县工业信息化和商务局：</w:t>
            </w:r>
            <w:r>
              <w:rPr>
                <w:rFonts w:ascii="Times New Roman" w:eastAsia="方正公文仿宋" w:cs="Times New Roman" w:hAnsi="Times New Roman"/>
                <w:i w:val="0"/>
                <w:snapToGrid w:val="0"/>
                <w:color w:val="000000"/>
                <w:kern w:val="0"/>
                <w:sz w:val="21"/>
                <w:szCs w:val="21"/>
                <w:u w:val="none"/>
                <w:lang w:eastAsia="zh-CN"/>
              </w:rPr>
              <w:t>按照职责分工，</w:t>
            </w:r>
            <w:r>
              <w:rPr>
                <w:rFonts w:ascii="Times New Roman" w:eastAsia="方正公文仿宋" w:cs="Times New Roman" w:hAnsi="Times New Roman" w:hint="eastAsia"/>
                <w:i w:val="0"/>
                <w:snapToGrid w:val="0"/>
                <w:color w:val="000000"/>
                <w:kern w:val="0"/>
                <w:sz w:val="21"/>
                <w:szCs w:val="21"/>
                <w:u w:val="none"/>
                <w:lang w:val="en-US" w:eastAsia="zh-CN"/>
              </w:rPr>
              <w:t>负责对全县加油站开展安全生产监督检查。</w:t>
            </w:r>
          </w:p>
        </w:tc>
      </w:tr>
      <w:tr>
        <w:trPr>
          <w:trHeight w:val="482"/>
        </w:trPr>
        <w:tc>
          <w:tcPr>
            <w:tcW w:w="14045" w:type="dxa"/>
            <w:gridSpan w:val="3"/>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eastAsia="方正公文仿宋" w:cs="Times New Roman" w:hAnsi="Times New Roman"/>
                <w:lang w:eastAsia="zh-CN"/>
              </w:rPr>
            </w:pPr>
            <w:r>
              <w:rPr>
                <w:rStyle w:val="25"/>
                <w:rFonts w:ascii="Times New Roman" w:eastAsia="方正公文黑体" w:cs="Times New Roman" w:hAnsi="Times New Roman"/>
                <w:b w:val="0"/>
                <w:bCs w:val="0"/>
                <w:color w:val="auto"/>
                <w:lang w:eastAsia="zh-CN"/>
              </w:rPr>
              <w:t>十、市场监管（</w:t>
            </w:r>
            <w:r>
              <w:rPr>
                <w:rStyle w:val="25"/>
                <w:rFonts w:ascii="Times New Roman" w:eastAsia="方正公文黑体" w:cs="Times New Roman" w:hAnsi="Times New Roman"/>
                <w:b w:val="0"/>
                <w:bCs w:val="0"/>
                <w:color w:val="auto"/>
                <w:lang w:val="en-US" w:eastAsia="zh-CN"/>
              </w:rPr>
              <w:t>4项</w:t>
            </w:r>
            <w:r>
              <w:rPr>
                <w:rStyle w:val="25"/>
                <w:rFonts w:ascii="Times New Roman" w:eastAsia="方正公文黑体" w:cs="Times New Roman" w:hAnsi="Times New Roman"/>
                <w:b w:val="0"/>
                <w:bCs w:val="0"/>
                <w:color w:val="auto"/>
                <w:lang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val="en-US" w:eastAsia="zh-CN"/>
              </w:rPr>
            </w:pPr>
            <w:r>
              <w:rPr>
                <w:rFonts w:ascii="Times New Roman" w:eastAsia="方正公文仿宋" w:cs="Times New Roman" w:hAnsi="Times New Roman"/>
                <w:i w:val="0"/>
                <w:snapToGrid w:val="0"/>
                <w:color w:val="000000"/>
                <w:kern w:val="0"/>
                <w:sz w:val="21"/>
                <w:szCs w:val="21"/>
                <w:u w:val="none"/>
                <w:lang w:val="en-US" w:eastAsia="zh-CN"/>
              </w:rPr>
              <w:t>78</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烟花爆竹许可证书办理</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县应急管理局：负责办理烟花爆竹许可证书。</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val="en-US" w:eastAsia="zh-CN"/>
              </w:rPr>
            </w:pPr>
            <w:r>
              <w:rPr>
                <w:rFonts w:ascii="Times New Roman" w:eastAsia="方正公文仿宋" w:cs="Times New Roman" w:hAnsi="Times New Roman"/>
                <w:i w:val="0"/>
                <w:snapToGrid w:val="0"/>
                <w:color w:val="000000"/>
                <w:kern w:val="0"/>
                <w:sz w:val="21"/>
                <w:szCs w:val="21"/>
                <w:u w:val="none"/>
                <w:lang w:val="en-US" w:eastAsia="zh-CN"/>
              </w:rPr>
              <w:t>79</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特种设备专项整治和监管执法</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县市场监督管理局：负责特种设备专项整治和监管执法。</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val="en-US" w:eastAsia="zh-CN"/>
              </w:rPr>
            </w:pPr>
            <w:r>
              <w:rPr>
                <w:rFonts w:ascii="Times New Roman" w:eastAsia="方正公文仿宋" w:cs="Times New Roman" w:hAnsi="Times New Roman"/>
                <w:i w:val="0"/>
                <w:snapToGrid w:val="0"/>
                <w:color w:val="000000"/>
                <w:kern w:val="0"/>
                <w:sz w:val="21"/>
                <w:szCs w:val="21"/>
                <w:u w:val="none"/>
                <w:lang w:val="en-US" w:eastAsia="zh-CN"/>
              </w:rPr>
              <w:t>80</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特种设备事故调查处理</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县市场监督管理局：负责特种设备事故调查处理。</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val="en-US" w:eastAsia="zh-CN"/>
              </w:rPr>
            </w:pPr>
            <w:r>
              <w:rPr>
                <w:rFonts w:ascii="Times New Roman" w:eastAsia="方正公文仿宋" w:cs="Times New Roman" w:hAnsi="Times New Roman"/>
                <w:i w:val="0"/>
                <w:snapToGrid w:val="0"/>
                <w:color w:val="000000"/>
                <w:kern w:val="0"/>
                <w:sz w:val="21"/>
                <w:szCs w:val="21"/>
                <w:u w:val="none"/>
                <w:lang w:val="en-US" w:eastAsia="zh-CN"/>
              </w:rPr>
              <w:t>81</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对特种设备事故应急处置</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i w:val="0"/>
                <w:snapToGrid w:val="0"/>
                <w:color w:val="000000"/>
                <w:kern w:val="0"/>
                <w:sz w:val="21"/>
                <w:szCs w:val="21"/>
                <w:u w:val="none"/>
                <w:lang w:val="en-US" w:eastAsia="zh-CN"/>
              </w:rPr>
            </w:pPr>
            <w:r>
              <w:rPr>
                <w:rFonts w:ascii="Times New Roman" w:eastAsia="方正公文仿宋" w:cs="Times New Roman" w:hAnsi="Times New Roman" w:hint="eastAsia"/>
                <w:i w:val="0"/>
                <w:snapToGrid w:val="0"/>
                <w:color w:val="000000"/>
                <w:kern w:val="0"/>
                <w:sz w:val="21"/>
                <w:szCs w:val="21"/>
                <w:u w:val="none"/>
                <w:lang w:val="en-US" w:eastAsia="zh-CN"/>
              </w:rPr>
              <w:t>县市场监督管理局：负责对特种设备事故应急处置。</w:t>
            </w:r>
          </w:p>
        </w:tc>
      </w:tr>
      <w:tr>
        <w:trPr>
          <w:trHeight w:val="658"/>
        </w:trPr>
        <w:tc>
          <w:tcPr>
            <w:tcW w:w="14045" w:type="dxa"/>
            <w:gridSpan w:val="3"/>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eastAsia="方正公文仿宋" w:cs="Times New Roman" w:hAnsi="Times New Roman"/>
                <w:lang w:eastAsia="zh-CN"/>
              </w:rPr>
            </w:pPr>
            <w:r>
              <w:rPr>
                <w:rStyle w:val="25"/>
                <w:rFonts w:ascii="Times New Roman" w:eastAsia="方正公文黑体" w:cs="Times New Roman" w:hAnsi="Times New Roman"/>
                <w:b w:val="0"/>
                <w:bCs w:val="0"/>
                <w:color w:val="auto"/>
                <w:lang w:eastAsia="zh-CN"/>
              </w:rPr>
              <w:t>十一、教育培训监管（</w:t>
            </w:r>
            <w:r>
              <w:rPr>
                <w:rStyle w:val="25"/>
                <w:rFonts w:ascii="Times New Roman" w:eastAsia="方正公文黑体" w:cs="Times New Roman" w:hAnsi="Times New Roman"/>
                <w:b w:val="0"/>
                <w:bCs w:val="0"/>
                <w:color w:val="auto"/>
                <w:lang w:val="en-US" w:eastAsia="zh-CN"/>
              </w:rPr>
              <w:t>3项</w:t>
            </w:r>
            <w:r>
              <w:rPr>
                <w:rStyle w:val="25"/>
                <w:rFonts w:ascii="Times New Roman" w:eastAsia="方正公文黑体" w:cs="Times New Roman" w:hAnsi="Times New Roman"/>
                <w:b w:val="0"/>
                <w:bCs w:val="0"/>
                <w:color w:val="auto"/>
                <w:lang w:eastAsia="zh-CN"/>
              </w:rPr>
              <w:t>）</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val="en-US" w:eastAsia="zh-CN"/>
              </w:rPr>
            </w:pPr>
            <w:r>
              <w:rPr>
                <w:rFonts w:ascii="Times New Roman" w:eastAsia="方正公文仿宋" w:cs="Times New Roman" w:hAnsi="Times New Roman"/>
                <w:i w:val="0"/>
                <w:snapToGrid w:val="0"/>
                <w:color w:val="000000"/>
                <w:kern w:val="0"/>
                <w:sz w:val="21"/>
                <w:szCs w:val="21"/>
                <w:u w:val="none"/>
                <w:lang w:val="en-US" w:eastAsia="zh-CN"/>
              </w:rPr>
              <w:t>82</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出具适龄儿童、少年到非户籍所在地入学申请证明</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县教育体育局：负责出具适龄儿童、少年到非户籍所在地入学申请证明。</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val="en-US" w:eastAsia="zh-CN"/>
              </w:rPr>
            </w:pPr>
            <w:r>
              <w:rPr>
                <w:rFonts w:ascii="Times New Roman" w:eastAsia="方正公文仿宋" w:cs="Times New Roman" w:hAnsi="Times New Roman"/>
                <w:i w:val="0"/>
                <w:snapToGrid w:val="0"/>
                <w:color w:val="000000"/>
                <w:kern w:val="0"/>
                <w:sz w:val="21"/>
                <w:szCs w:val="21"/>
                <w:u w:val="none"/>
                <w:lang w:val="en-US" w:eastAsia="zh-CN"/>
              </w:rPr>
              <w:t>83</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适龄儿童、少年因身体状况需要延缓入学或者休学审批</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县教育体育局：负责对适龄儿童、少年因身体状况需要延缓入学或者休学的进行审批。</w:t>
            </w:r>
          </w:p>
        </w:tc>
      </w:tr>
      <w:tr>
        <w:trPr>
          <w:trHeight w:val="658"/>
        </w:trPr>
        <w:tc>
          <w:tcPr>
            <w:tcW w:w="726"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eastAsia="方正公文仿宋" w:cs="Times New Roman" w:hAnsi="Times New Roman"/>
                <w:sz w:val="21"/>
                <w:szCs w:val="21"/>
                <w:lang w:val="en-US" w:eastAsia="zh-CN"/>
              </w:rPr>
            </w:pPr>
            <w:r>
              <w:rPr>
                <w:rFonts w:ascii="Times New Roman" w:eastAsia="方正公文仿宋" w:cs="Times New Roman" w:hAnsi="Times New Roman"/>
                <w:i w:val="0"/>
                <w:snapToGrid w:val="0"/>
                <w:color w:val="000000"/>
                <w:kern w:val="0"/>
                <w:sz w:val="21"/>
                <w:szCs w:val="21"/>
                <w:u w:val="none"/>
                <w:lang w:val="en-US" w:eastAsia="zh-CN"/>
              </w:rPr>
              <w:t>84</w:t>
            </w:r>
          </w:p>
        </w:tc>
        <w:tc>
          <w:tcPr>
            <w:tcW w:w="49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涉校涉生安全管理</w:t>
            </w:r>
          </w:p>
        </w:tc>
        <w:tc>
          <w:tcPr>
            <w:tcW w:w="832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eastAsia="方正公文仿宋" w:cs="Times New Roman" w:hAnsi="Times New Roman"/>
                <w:sz w:val="21"/>
                <w:szCs w:val="21"/>
                <w:lang w:eastAsia="zh-CN"/>
              </w:rPr>
            </w:pPr>
            <w:r>
              <w:rPr>
                <w:rFonts w:ascii="Times New Roman" w:eastAsia="方正公文仿宋" w:cs="Times New Roman" w:hAnsi="Times New Roman"/>
                <w:i w:val="0"/>
                <w:snapToGrid w:val="0"/>
                <w:color w:val="000000"/>
                <w:kern w:val="0"/>
                <w:sz w:val="21"/>
                <w:szCs w:val="21"/>
                <w:u w:val="none"/>
                <w:lang w:val="en-US" w:eastAsia="zh-CN"/>
              </w:rPr>
              <w:t>县教育体育局：负责开展学校安全生产排查、隐患整改等工作。</w:t>
            </w:r>
          </w:p>
        </w:tc>
      </w:tr>
    </w:tbl>
    <w:p>
      <w:pPr>
        <w:pageBreakBefore w:val="0"/>
        <w:widowControl/>
        <w:kinsoku/>
        <w:wordWrap/>
        <w:overflowPunct w:val="0"/>
        <w:topLinePunct w:val="0"/>
        <w:autoSpaceDE w:val="0"/>
        <w:autoSpaceDN w:val="0"/>
        <w:bidi w:val="0"/>
        <w:rPr>
          <w:rFonts w:ascii="Times New Roman" w:eastAsia="等线" w:cs="Times New Roman" w:hAnsi="Times New Roman"/>
          <w:lang w:eastAsia="zh-CN"/>
        </w:rPr>
      </w:pPr>
    </w:p>
    <w:sectPr>
      <w:footerReference w:type="default" r:id="rId3"/>
      <w:pgSz w:w="16837" w:h="11905" w:orient="landscape"/>
      <w:pgMar w:top="1418" w:right="1418" w:bottom="1418" w:left="1418" w:header="851" w:footer="907" w:gutter="0"/>
      <w:pgNumType w:start="1"/>
      <w:cols w:num="1" w:space="720"/>
      <w:docGrid w:linePitch="312" w:charSpace="0"/>
    </w:sectPr>
  </w:body>
</w:document>
</file>

<file path=word/fontTable.xml><?xml version="1.0" encoding="utf-8"?>
<w:fonts xmlns:w="http://schemas.openxmlformats.org/wordprocessingml/2006/main" xmlns:r="http://schemas.openxmlformats.org/officeDocument/2006/relationships">
  <w:font w:name="方正公文小标宋">
    <w:altName w:val="方正小标宋_GBK"/>
    <w:panose1 w:val="02000000000000000000"/>
    <w:charset w:val="86"/>
    <w:family w:val="auto"/>
    <w:pitch w:val="variable"/>
    <w:sig w:usb0="00000001" w:usb1="08000000" w:usb2="00000000" w:usb3="00000000" w:csb0="00040000" w:csb1="00000000"/>
  </w:font>
  <w:font w:name="等线">
    <w:altName w:val="方正黑体_GBK"/>
    <w:panose1 w:val="02010600030101010101"/>
    <w:charset w:val="86"/>
    <w:family w:val="auto"/>
    <w:pitch w:val="variable"/>
    <w:sig w:usb0="00000000" w:usb1="00000000" w:usb2="00000016" w:usb3="00000000" w:csb0="0004000F" w:csb1="00000000"/>
  </w:font>
  <w:font w:name="宋体">
    <w:altName w:val="方正书宋_GBK"/>
    <w:panose1 w:val="02010600030101010101"/>
    <w:charset w:val="86"/>
    <w:family w:val="auto"/>
    <w:pitch w:val="variable"/>
    <w:sig w:usb0="00000003" w:usb1="288F0000" w:usb2="00000006" w:usb3="00000000" w:csb0="00040001" w:csb1="00000000"/>
  </w:font>
  <w:font w:name="Arial">
    <w:altName w:val="DejaVu Sans"/>
    <w:panose1 w:val="020B0604020202020204"/>
    <w:charset w:val="01"/>
    <w:family w:val="swiss"/>
    <w:pitch w:val="variable"/>
    <w:sig w:usb0="E0002AFF" w:usb1="C0007843" w:usb2="00000009" w:usb3="00000000" w:csb0="400001FF" w:csb1="FFFF0000"/>
  </w:font>
  <w:font w:name="方正仿宋简体">
    <w:altName w:val="方正仿宋_GBK"/>
    <w:panose1 w:val="00000000000000000000"/>
    <w:charset w:val="86"/>
    <w:family w:val="auto"/>
    <w:pitch w:val="variable"/>
    <w:sig w:usb0="00000000" w:usb1="00000000" w:usb2="00000000" w:usb3="00000000" w:csb0="00040000" w:csb1="00000000"/>
  </w:font>
  <w:font w:name="方正小标宋简体">
    <w:altName w:val="方正小标宋_GBK"/>
    <w:panose1 w:val="02000000000000000000"/>
    <w:charset w:val="86"/>
    <w:family w:val="auto"/>
    <w:pitch w:val="variable"/>
    <w:sig w:usb0="A00002BF" w:usb1="184F6CFA" w:usb2="00000012" w:usb3="00000000" w:csb0="00040001" w:csb1="00000000"/>
  </w:font>
  <w:font w:name="SimSun">
    <w:altName w:val="方正黑体_GBK"/>
    <w:panose1 w:val="02010600030101010101"/>
    <w:charset w:val="86"/>
    <w:family w:val="auto"/>
    <w:pitch w:val="variable"/>
    <w:sig w:usb0="00000003" w:usb1="288F0000" w:usb2="0000000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方正公文黑体">
    <w:altName w:val="方正黑体_GBK"/>
    <w:panose1 w:val="02000000000000000000"/>
    <w:charset w:val="86"/>
    <w:family w:val="auto"/>
    <w:pitch w:val="variable"/>
    <w:sig w:usb0="00000001" w:usb1="08000000" w:usb2="00000000" w:usb3="00000000" w:csb0="00040000" w:csb1="00000000"/>
  </w:font>
  <w:font w:name="方正公文仿宋">
    <w:altName w:val="方正仿宋_GBK"/>
    <w:panose1 w:val="02000000000000000000"/>
    <w:charset w:val="86"/>
    <w:family w:val="auto"/>
    <w:pitch w:val="variable"/>
    <w:sig w:usb0="00000001" w:usb1="08000000" w:usb2="00000000" w:usb3="00000000" w:csb0="00040000" w:csb1="00000000"/>
  </w:font>
  <w:font w:name="方正仿宋_GBK">
    <w:panose1 w:val="03000509000000000000"/>
    <w:charset w:val="86"/>
    <w:family w:val="auto"/>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Lucida Sans">
    <w:altName w:val="Noto Naskh Arabic"/>
    <w:panose1 w:val="020B0602030504020204"/>
    <w:charset w:val="00"/>
    <w:family w:val="auto"/>
    <w:pitch w:val="variable"/>
    <w:sig w:usb0="00000000" w:usb1="00000000" w:usb2="00000000" w:usb3="00000000" w:csb0="20000001" w:csb1="00000000"/>
  </w:font>
  <w:font w:name="文泉驿正黑">
    <w:altName w:val="方正黑体_GBK"/>
    <w:panose1 w:val="02000603000000000000"/>
    <w:charset w:val="86"/>
    <w:family w:val="script"/>
    <w:pitch w:val="variable"/>
    <w:sig w:usb0="00000000" w:usb1="00000000" w:usb2="00000036" w:usb3="00000000" w:csb0="603E000D" w:csb1="D2D70000"/>
  </w:font>
  <w:font w:name="黑体">
    <w:altName w:val="方正黑体_GBK"/>
    <w:panose1 w:val="02010609060101010101"/>
    <w:charset w:val="86"/>
    <w:family w:val="auto"/>
    <w:pitch w:val="variable"/>
    <w:sig w:usb0="800002BF" w:usb1="38CF7CFA" w:usb2="00000016" w:usb3="00000000" w:csb0="00040001" w:csb1="00000000"/>
  </w:font>
  <w:font w:name="等线 Light">
    <w:altName w:val="方正黑体_GBK"/>
    <w:panose1 w:val="02010600030101010101"/>
    <w:charset w:val="86"/>
    <w:family w:val="auto"/>
    <w:pitch w:val="variable"/>
    <w:sig w:usb0="00000000" w:usb1="00000000" w:usb2="00000016" w:usb3="00000000" w:csb0="0004000F" w:csb1="00000000"/>
  </w:font>
  <w:font w:name="仿宋_GB2312">
    <w:altName w:val="方正仿宋_GBK"/>
    <w:panose1 w:val="02010609030101010101"/>
    <w:charset w:val="86"/>
    <w:family w:val="auto"/>
    <w:pitch w:val="variable"/>
    <w:sig w:usb0="00000001" w:usb1="080E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jc w:val="center"/>
      <w:rPr>
        <w:rFonts w:ascii="方正仿宋简体" w:eastAsia="方正仿宋简体" w:cs="方正仿宋简体" w:hAnsi="方正仿宋简体"/>
        <w:sz w:val="24"/>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jc w:val="center"/>
      <w:rPr>
        <w:rFonts w:ascii="方正仿宋简体" w:eastAsia="方正仿宋简体" w:cs="方正仿宋简体" w:hAnsi="方正仿宋简体"/>
        <w:sz w:val="24"/>
      </w:rPr>
    </w:pPr>
    <w:r>
      <w:rPr>
        <w:sz w:val="24"/>
      </w:rPr>
      <mc:AlternateContent>
        <mc:Choice Requires="wps">
          <w:drawing>
            <wp:anchor distT="0" distB="0" distL="114300" distR="114300" simplePos="0" relativeHeight="12" behindDoc="0" locked="0" layoutInCell="1" hidden="0" allowOverlap="1">
              <wp:simplePos x="0" y="0"/>
              <wp:positionH relativeFrom="margin">
                <wp:align>center</wp:align>
              </wp:positionH>
              <wp:positionV relativeFrom="paragraph">
                <wp:posOffset>0</wp:posOffset>
              </wp:positionV>
              <wp:extent cx="651123" cy="220860"/>
              <wp:effectExtent l="0" t="0" r="0" b="0"/>
              <wp:wrapNone/>
              <wp:docPr id="2" name="文本框 2"/>
              <wp:cNvGraphicFramePr>
                <a:graphicFrameLocks noChangeAspect="0"/>
              </wp:cNvGraphicFramePr>
              <a:graphic>
                <a:graphicData uri="http://schemas.microsoft.com/office/word/2010/wordprocessingShape">
                  <wps:wsp>
                    <wps:cNvSpPr/>
                    <wps:spPr>
                      <a:xfrm rot="0">
                        <a:off x="0" y="0"/>
                        <a:ext cx="651123" cy="220860"/>
                      </a:xfrm>
                      <a:prstGeom prst="rect"/>
                      <a:noFill/>
                      <a:ln w="6350" cmpd="sng" cap="flat">
                        <a:noFill/>
                        <a:prstDash val="solid"/>
                        <a:round/>
                      </a:ln>
                    </wps:spPr>
                    <wps:txbx id="1">
                      <w:txbxContent>
                        <w:p>
                          <w:pPr>
                            <w:pStyle w:val="18"/>
                            <w:tabs>
                              <w:tab w:val="center" w:pos="4153"/>
                              <w:tab w:val="right" w:pos="8306"/>
                            </w:tabs>
                            <w:jc w:val="center"/>
                          </w:pPr>
                          <w:r>
                            <w:rPr>
                              <w:rFonts w:ascii="方正仿宋简体" w:eastAsia="方正仿宋简体" w:cs="方正仿宋简体" w:hAnsi="方正仿宋简体" w:hint="eastAsia"/>
                              <w:sz w:val="24"/>
                              <w:szCs w:val="24"/>
                            </w:rPr>
                            <w:t xml:space="preserve">第 </w:t>
                          </w:r>
                          <w:r>
                            <w:rPr>
                              <w:rFonts w:ascii="Times New Roman" w:eastAsia="方正仿宋简体" w:hAnsi="Times New Roman"/>
                              <w:sz w:val="24"/>
                            </w:rPr>
                            <w:fldChar w:fldCharType="begin"/>
                          </w:r>
                          <w:r>
                            <w:rPr>
                              <w:rFonts w:ascii="Times New Roman" w:eastAsia="方正仿宋简体" w:cs="Times New Roman" w:hAnsi="Times New Roman"/>
                              <w:sz w:val="24"/>
                              <w:szCs w:val="24"/>
                            </w:rPr>
                            <w:instrText xml:space="preserve"> PAGE  \* MERGEFORMAT </w:instrText>
                          </w:r>
                          <w:r>
                            <w:rPr>
                              <w:rFonts w:ascii="Times New Roman" w:eastAsia="方正仿宋简体" w:hAnsi="Times New Roman"/>
                              <w:sz w:val="24"/>
                            </w:rPr>
                            <w:fldChar w:fldCharType="separate"/>
                          </w:r>
                          <w:r>
                            <w:rPr>
                              <w:rFonts w:ascii="Times New Roman" w:eastAsia="方正仿宋简体" w:hAnsi="Times New Roman"/>
                              <w:sz w:val="24"/>
                            </w:rPr>
                            <w:t>3</w:t>
                          </w:r>
                          <w:r>
                            <w:rPr>
                              <w:rFonts w:ascii="Times New Roman" w:eastAsia="方正仿宋简体" w:hAnsi="Times New Roman"/>
                              <w:sz w:val="24"/>
                            </w:rPr>
                            <w:fldChar w:fldCharType="end"/>
                          </w:r>
                          <w:r>
                            <w:rPr>
                              <w:rFonts w:ascii="方正仿宋简体" w:eastAsia="方正仿宋简体" w:cs="方正仿宋简体" w:hAnsi="方正仿宋简体" w:hint="eastAsia"/>
                              <w:sz w:val="24"/>
                              <w:szCs w:val="24"/>
                            </w:rPr>
                            <w:t xml:space="preserve"> 页</w:t>
                          </w:r>
                        </w:p>
                      </w:txbxContent>
                    </wps:txbx>
                    <wps:bodyPr vert="horz" wrap="none" lIns="0" tIns="0" rIns="0" bIns="0" anchor="t" anchorCtr="0" upright="0">
                      <a:spAutoFit/>
                    </wps:bodyPr>
                  </wps:wsp>
                </a:graphicData>
              </a:graphic>
            </wp:anchor>
          </w:drawing>
        </mc:Choice>
        <mc:Fallback>
          <w:pict>
            <v:rect type="#_x0000_t1" id="文本框 2" o:spid="_x0000_s2" filled="f" stroked="f" strokeweight="0.5pt" style="position:absolute;margin-left:0.0pt;margin-top:0.0pt;width:51.26953pt;height:17.390625pt;z-index:12;mso-position-horizontal:center;mso-position-horizontal-relative:margin;mso-position-vertical:absolute;mso-wrap-style:none;">
              <v:stroke/>
              <v:textbox id="848" inset="0mm,0mm,0mm,0mm" o:insetmode="custom" style="layout-flow:horizontal;v-text-anchor:top;mso-fit-shape-to-text:t;">
                <w:txbxContent>
                  <w:p>
                    <w:pPr>
                      <w:pStyle w:val="18"/>
                      <w:tabs>
                        <w:tab w:val="center" w:pos="4153"/>
                        <w:tab w:val="right" w:pos="8306"/>
                      </w:tabs>
                      <w:jc w:val="center"/>
                    </w:pPr>
                    <w:r>
                      <w:rPr>
                        <w:rFonts w:ascii="方正仿宋简体" w:eastAsia="方正仿宋简体" w:cs="方正仿宋简体" w:hAnsi="方正仿宋简体" w:hint="eastAsia"/>
                        <w:sz w:val="24"/>
                        <w:szCs w:val="24"/>
                      </w:rPr>
                      <w:t xml:space="preserve">第 </w:t>
                    </w:r>
                    <w:r>
                      <w:rPr>
                        <w:rFonts w:ascii="Times New Roman" w:eastAsia="方正仿宋简体" w:hAnsi="Times New Roman"/>
                        <w:sz w:val="24"/>
                      </w:rPr>
                      <w:fldChar w:fldCharType="begin"/>
                    </w:r>
                    <w:r>
                      <w:rPr>
                        <w:rFonts w:ascii="Times New Roman" w:eastAsia="方正仿宋简体" w:cs="Times New Roman" w:hAnsi="Times New Roman"/>
                        <w:sz w:val="24"/>
                        <w:szCs w:val="24"/>
                      </w:rPr>
                      <w:instrText xml:space="preserve"> PAGE  \* MERGEFORMAT </w:instrText>
                    </w:r>
                    <w:r>
                      <w:rPr>
                        <w:rFonts w:ascii="Times New Roman" w:eastAsia="方正仿宋简体" w:hAnsi="Times New Roman"/>
                        <w:sz w:val="24"/>
                      </w:rPr>
                      <w:fldChar w:fldCharType="separate"/>
                    </w:r>
                    <w:r>
                      <w:rPr>
                        <w:rFonts w:ascii="Times New Roman" w:eastAsia="方正仿宋简体" w:hAnsi="Times New Roman"/>
                        <w:sz w:val="24"/>
                      </w:rPr>
                      <w:t>3</w:t>
                    </w:r>
                    <w:r>
                      <w:rPr>
                        <w:rFonts w:ascii="Times New Roman" w:eastAsia="方正仿宋简体" w:hAnsi="Times New Roman"/>
                        <w:sz w:val="24"/>
                      </w:rPr>
                      <w:fldChar w:fldCharType="end"/>
                    </w:r>
                    <w:r>
                      <w:rPr>
                        <w:rFonts w:ascii="方正仿宋简体" w:eastAsia="方正仿宋简体" w:cs="方正仿宋简体" w:hAnsi="方正仿宋简体" w:hint="eastAsia"/>
                        <w:sz w:val="24"/>
                        <w:szCs w:val="24"/>
                      </w:rPr>
                      <w:t xml:space="preserve"> 页</w:t>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DBD2B16"/>
    <w:multiLevelType w:val="singleLevel"/>
    <w:tmpl w:val="FDBD2B16"/>
    <w:lvl w:ilvl="0">
      <w:start w:val="89"/>
      <w:numFmt w:val="decimal"/>
      <w:lvlRestart w:val="0"/>
      <w:suff w:val="nothing"/>
      <w:lvlText w:val="%1"/>
      <w:lvlJc w:val="left"/>
      <w:pPr>
        <w:ind w:left="0" w:hanging="0"/>
      </w:pPr>
      <w:rPr>
        <w:rFonts w:hint="default"/>
      </w:rPr>
    </w:lvl>
  </w:abstractNum>
  <w:abstractNum w:abstractNumId="1">
    <w:nsid w:val="3BF80691"/>
    <w:multiLevelType w:val="singleLevel"/>
    <w:tmpl w:val="3BF80691"/>
    <w:lvl w:ilvl="0">
      <w:start w:val="107"/>
      <w:numFmt w:val="decimal"/>
      <w:lvlRestart w:val="0"/>
      <w:lvlText w:val="%1"/>
      <w:lvlJc w:val="left"/>
      <w:pPr>
        <w:tabs>
          <w:tab w:val="num" w:pos="420"/>
        </w:tabs>
        <w:ind w:left="425" w:hanging="425"/>
      </w:pPr>
      <w:rPr>
        <w:rFonts w:hint="default"/>
      </w:rPr>
    </w:lvl>
  </w:abstractNum>
  <w:abstractNum w:abstractNumId="2">
    <w:nsid w:val="1599329C"/>
    <w:multiLevelType w:val="multilevel"/>
    <w:tmpl w:val="1599329C"/>
    <w:lvl w:ilvl="0">
      <w:start w:val="1"/>
      <w:numFmt w:val="decimal"/>
      <w:lvlRestart w:val="0"/>
      <w:pStyle w:val="20"/>
      <w:lvlText w:val="%1."/>
      <w:lvlJc w:val="left"/>
      <w:pPr>
        <w:ind w:left="420" w:hanging="420"/>
      </w:pPr>
      <w:rPr>
        <w:b w:val="0"/>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5"/>
    <w:pPr>
      <w:kinsoku w:val="0"/>
      <w:autoSpaceDE w:val="0"/>
      <w:autoSpaceDN w:val="0"/>
      <w:adjustRightInd w:val="0"/>
      <w:snapToGrid w:val="0"/>
      <w:textAlignment w:val="baseline"/>
    </w:pPr>
    <w:rPr>
      <w:rFonts w:ascii="Arial" w:eastAsia="Arial" w:cs="Arial" w:hAnsi="Arial"/>
      <w:snapToGrid w:val="0"/>
      <w:color w:val="000000"/>
      <w:kern w:val="0"/>
      <w:sz w:val="21"/>
      <w:szCs w:val="21"/>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Arial" w:eastAsia="Arial" w:cs="Arial" w:hAnsi="Arial"/>
      <w:b/>
      <w:bCs/>
      <w:snapToGrid w:val="0"/>
      <w:color w:val="000000"/>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文泉驿正黑" w:eastAsia="黑体" w:hAnsi="文泉驿正黑"/>
      <w:b/>
      <w:bCs/>
      <w:sz w:val="32"/>
      <w:szCs w:val="32"/>
    </w:rPr>
  </w:style>
  <w:style w:type="character" w:customStyle="1" w:styleId="2Char">
    <w:name w:val="heading 2 Char"/>
    <w:basedOn w:val="10"/>
    <w:link w:val="2"/>
    <w:rPr>
      <w:rFonts w:ascii="文泉驿正黑" w:eastAsia="黑体" w:cs="Arial" w:hAnsi="文泉驿正黑"/>
      <w:b/>
      <w:bCs/>
      <w:snapToGrid w:val="0"/>
      <w:color w:val="000000"/>
      <w:kern w:val="0"/>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Arial" w:eastAsia="Arial" w:cs="Arial" w:hAnsi="Arial"/>
      <w:b/>
      <w:bCs/>
      <w:snapToGrid w:val="0"/>
      <w:color w:val="000000"/>
      <w:kern w:val="0"/>
      <w:sz w:val="32"/>
      <w:szCs w:val="32"/>
      <w:lang w:val="en-US" w:eastAsia="zh-CN" w:bidi="ar-SA"/>
    </w:rPr>
  </w:style>
  <w:style w:type="character" w:default="1" w:styleId="10">
    <w:name w:val="Default Paragraph Font"/>
    <w:qFormat/>
  </w:style>
  <w:style w:type="paragraph" w:styleId="15">
    <w:name w:val="Title"/>
    <w:qFormat/>
    <w:basedOn w:val="0"/>
    <w:next w:val="0"/>
    <w:pPr>
      <w:spacing w:before="240" w:after="60"/>
      <w:jc w:val="center"/>
      <w:outlineLvl w:val="0"/>
    </w:pPr>
    <w:rPr>
      <w:b/>
      <w:sz w:val="32"/>
    </w:rPr>
  </w:style>
  <w:style w:type="paragraph" w:styleId="16">
    <w:name w:val="Body Text"/>
    <w:qFormat/>
    <w:basedOn w:val="0"/>
  </w:style>
  <w:style w:type="paragraph" w:styleId="17">
    <w:name w:val="toc 3"/>
    <w:qFormat/>
    <w:basedOn w:val="0"/>
    <w:next w:val="0"/>
    <w:pPr>
      <w:kinsoku/>
      <w:autoSpaceDE/>
      <w:autoSpaceDN/>
      <w:adjustRightInd/>
      <w:snapToGrid/>
      <w:spacing w:after="100" w:line="259" w:lineRule="auto"/>
      <w:ind w:left="440"/>
      <w:textAlignment w:val="auto"/>
    </w:pPr>
    <w:rPr>
      <w:rFonts w:ascii="等线" w:eastAsia="等线" w:cs="Times New Roman" w:hAnsi="等线"/>
      <w:snapToGrid/>
      <w:color w:val="auto"/>
      <w:sz w:val="22"/>
      <w:szCs w:val="22"/>
      <w:lang w:eastAsia="zh-CN"/>
    </w:rPr>
  </w:style>
  <w:style w:type="paragraph" w:styleId="18">
    <w:name w:val="footer"/>
    <w:qFormat/>
    <w:basedOn w:val="0"/>
    <w:pPr>
      <w:tabs>
        <w:tab w:val="center" w:pos="4153"/>
        <w:tab w:val="right" w:pos="8306"/>
      </w:tabs>
    </w:pPr>
    <w:rPr>
      <w:sz w:val="18"/>
      <w:szCs w:val="18"/>
    </w:rPr>
  </w:style>
  <w:style w:type="paragraph" w:styleId="19">
    <w:name w:val="header"/>
    <w:qFormat/>
    <w:basedOn w:val="0"/>
    <w:pPr>
      <w:pBdr>
        <w:bottom w:val="single" w:sz="6" w:space="1" w:color="auto"/>
      </w:pBdr>
      <w:tabs>
        <w:tab w:val="center" w:pos="4153"/>
        <w:tab w:val="right" w:pos="8306"/>
      </w:tabs>
      <w:jc w:val="center"/>
    </w:pPr>
    <w:rPr>
      <w:sz w:val="18"/>
      <w:szCs w:val="18"/>
    </w:rPr>
  </w:style>
  <w:style w:type="paragraph" w:styleId="20">
    <w:name w:val="toc 1"/>
    <w:qFormat/>
    <w:basedOn w:val="0"/>
    <w:next w:val="0"/>
    <w:pPr>
      <w:numPr>
        <w:ilvl w:val="0"/>
        <w:numId w:val="3"/>
      </w:numPr>
    </w:pPr>
    <w:rPr>
      <w:rFonts w:ascii="Times New Roman" w:eastAsia="方正公文仿宋" w:hAnsi="Times New Roman"/>
      <w:sz w:val="32"/>
    </w:rPr>
  </w:style>
  <w:style w:type="paragraph" w:styleId="21">
    <w:name w:val="toc 2"/>
    <w:qFormat/>
    <w:basedOn w:val="0"/>
    <w:next w:val="0"/>
    <w:pPr>
      <w:kinsoku/>
      <w:autoSpaceDE/>
      <w:autoSpaceDN/>
      <w:adjustRightInd/>
      <w:snapToGrid/>
      <w:spacing w:after="100" w:line="259" w:lineRule="auto"/>
      <w:ind w:left="220"/>
      <w:textAlignment w:val="auto"/>
    </w:pPr>
    <w:rPr>
      <w:rFonts w:ascii="等线" w:eastAsia="等线" w:cs="Times New Roman" w:hAnsi="等线"/>
      <w:snapToGrid/>
      <w:color w:val="auto"/>
      <w:sz w:val="22"/>
      <w:szCs w:val="22"/>
      <w:lang w:eastAsia="zh-CN"/>
    </w:rPr>
  </w:style>
  <w:style w:type="character" w:styleId="22">
    <w:name w:val="page number"/>
    <w:qFormat/>
  </w:style>
  <w:style w:type="character" w:styleId="23">
    <w:name w:val="Hyperlink"/>
    <w:qFormat/>
    <w:basedOn w:val="10"/>
    <w:rPr>
      <w:color w:val="0563C1"/>
      <w:u w:val="single"/>
    </w:rPr>
  </w:style>
  <w:style w:type="paragraph" w:customStyle="1" w:styleId="24">
    <w:name w:val="_Style 5"/>
    <w:qFormat/>
    <w:pPr>
      <w:widowControl w:val="0"/>
      <w:ind w:firstLineChars="200" w:firstLine="200"/>
      <w:jc w:val="both"/>
    </w:pPr>
    <w:rPr>
      <w:rFonts w:ascii="Times New Roman" w:eastAsia="宋体" w:cs="Times New Roman" w:hAnsi="Times New Roman"/>
      <w:kern w:val="2"/>
      <w:sz w:val="24"/>
      <w:szCs w:val="22"/>
      <w:lang w:val="en-US" w:eastAsia="zh-CN" w:bidi="ar-SA"/>
    </w:rPr>
  </w:style>
  <w:style w:type="character" w:customStyle="1" w:styleId="25">
    <w:name w:val="font21"/>
    <w:qFormat/>
    <w:rPr>
      <w:rFonts w:ascii="Times New Roman" w:cs="Times New Roman" w:hAnsi="Times New Roman"/>
      <w:color w:val="000000"/>
      <w:sz w:val="24"/>
      <w:szCs w:val="24"/>
      <w:u w:val="none"/>
    </w:rPr>
  </w:style>
  <w:style w:type="character" w:customStyle="1" w:styleId="26">
    <w:name w:val="font101"/>
    <w:qFormat/>
    <w:rPr>
      <w:rFonts w:ascii="Times New Roman" w:cs="Times New Roman" w:hAnsi="Times New Roman"/>
      <w:color w:val="000000"/>
      <w:sz w:val="22"/>
      <w:szCs w:val="22"/>
      <w:u w:val="none"/>
    </w:rPr>
  </w:style>
  <w:style w:type="paragraph" w:customStyle="1" w:styleId="27">
    <w:name w:val="TOC Heading"/>
    <w:qFormat/>
    <w:basedOn w:val="1"/>
    <w:next w:val="0"/>
    <w:pPr>
      <w:kinsoku/>
      <w:autoSpaceDE/>
      <w:autoSpaceDN/>
      <w:adjustRightInd/>
      <w:snapToGrid/>
      <w:spacing w:before="240" w:after="0" w:line="259" w:lineRule="auto"/>
      <w:textAlignment w:val="auto"/>
      <w:outlineLvl w:val="9"/>
    </w:pPr>
    <w:rPr>
      <w:rFonts w:ascii="等线 Light" w:eastAsia="等线 Light" w:cs="Times New Roman" w:hAnsi="等线 Light"/>
      <w:b w:val="0"/>
      <w:bCs w:val="0"/>
      <w:snapToGrid/>
      <w:color w:val="2E75B6"/>
      <w:kern w:val="0"/>
      <w:sz w:val="32"/>
      <w:szCs w:val="32"/>
      <w:lang w:eastAsia="zh-CN"/>
    </w:rPr>
  </w:style>
  <w:style w:type="character" w:customStyle="1" w:styleId="28">
    <w:name w:val="font01"/>
    <w:qFormat/>
    <w:basedOn w:val="10"/>
    <w:rPr>
      <w:rFonts w:ascii="仿宋_GB2312" w:eastAsia="仿宋_GB2312" w:cs="仿宋_GB2312"/>
      <w:b/>
      <w:color w:val="000000"/>
      <w:sz w:val="32"/>
      <w:szCs w:val="32"/>
      <w:u w:val="none"/>
    </w:rPr>
  </w:style>
  <w:style w:type="character" w:customStyle="1" w:styleId="29">
    <w:name w:val="font81"/>
    <w:qFormat/>
    <w:basedOn w:val="10"/>
    <w:rPr>
      <w:rFonts w:ascii="Times New Roman" w:cs="Times New Roman" w:hAnsi="Times New Roman"/>
      <w:color w:val="000000"/>
      <w:sz w:val="28"/>
      <w:szCs w:val="28"/>
      <w:u w:val="none"/>
    </w:rPr>
  </w:style>
  <w:style w:type="character" w:customStyle="1" w:styleId="30">
    <w:name w:val="font91"/>
    <w:qFormat/>
    <w:basedOn w:val="10"/>
    <w:rPr>
      <w:rFonts w:ascii="仿宋_GB2312" w:eastAsia="仿宋_GB2312" w:cs="仿宋_GB2312"/>
      <w:color w:val="000000"/>
      <w:sz w:val="28"/>
      <w:szCs w:val="28"/>
      <w:u w:val="none"/>
    </w:rPr>
  </w:style>
  <w:style w:type="character" w:customStyle="1" w:styleId="31">
    <w:name w:val="font112"/>
    <w:qFormat/>
    <w:basedOn w:val="10"/>
    <w:rPr>
      <w:rFonts w:ascii="Times New Roman" w:cs="Times New Roman" w:hAnsi="Times New Roman"/>
      <w:b/>
      <w:color w:val="000000"/>
      <w:sz w:val="28"/>
      <w:szCs w:val="28"/>
      <w:u w:val="none"/>
    </w:rPr>
  </w:style>
  <w:style w:type="character" w:customStyle="1" w:styleId="32">
    <w:name w:val="font71"/>
    <w:qFormat/>
    <w:basedOn w:val="10"/>
    <w:rPr>
      <w:rFonts w:ascii="Times New Roman" w:cs="Times New Roman" w:hAnsi="Times New Roman"/>
      <w:color w:val="000000"/>
      <w:sz w:val="32"/>
      <w:szCs w:val="32"/>
      <w:u w:val="none"/>
    </w:rPr>
  </w:style>
  <w:style w:type="character" w:customStyle="1" w:styleId="33">
    <w:name w:val="font61"/>
    <w:qFormat/>
    <w:basedOn w:val="10"/>
    <w:rPr>
      <w:rFonts w:ascii="仿宋_GB2312" w:eastAsia="仿宋_GB2312" w:cs="仿宋_GB2312"/>
      <w:b/>
      <w:color w:val="000000"/>
      <w:sz w:val="32"/>
      <w:szCs w:val="32"/>
      <w:u w:val="none"/>
    </w:rPr>
  </w:style>
  <w:style w:type="paragraph" w:customStyle="1" w:styleId="34">
    <w:name w:val="WPSOffice手动目录 1"/>
    <w:qFormat/>
    <w:rPr>
      <w:rFonts w:ascii="Times New Roman" w:eastAsia="宋体" w:cs="Times New Roman" w:hAnsi="Times New Roman"/>
      <w:sz w:val="20"/>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glossaryDocument" Target="glossary/document.xml"/><Relationship Id="rId8" Type="http://schemas.openxmlformats.org/officeDocument/2006/relationships/customXml" Target="../customXml/item1.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word/glossary/document.xml><?xml version="1.0" encoding="utf-8"?>
<w:glossary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docParts>
    <w:docPart>
      <w:docPartPr>
        <w:name w:val="AE354A03102C4EB698B457F177894522"/>
        <w:category>
          <w:name w:val="常规"/>
          <w:gallery w:val="placeholder"/>
        </w:category>
        <w:types>
          <w:type w:val="bbPlcHdr"/>
        </w:types>
        <w:behaviors>
          <w:behavior w:val="content"/>
        </w:behaviors>
        <w:guid w:val="{D7ED0AA5-C38C-4F34-AC1B-E6FDA2A0D80C}"/>
      </w:docPartPr>
      <w:docPartBody>
        <w:p>
          <w:r>
            <w:rPr>
              <w:rStyle w:val="a3"/>
              <w:rFonts w:hint="eastAsia"/>
            </w:rPr>
            <w:t>单击此处输入文字。</w:t>
          </w:r>
        </w:p>
      </w:docPartBody>
    </w:docPart>
  </w:docParts>
</w:glossaryDocument>
</file>

<file path=word/glossary/fontTable.xml><?xml version="1.0" encoding="utf-8"?>
<w:fonts xmlns:w="http://schemas.openxmlformats.org/wordprocessingml/2006/main" xmlns:r="http://schemas.openxmlformats.org/officeDocument/2006/relationships">
  <w:font w:name="Times New Roman">
    <w:altName w:val="DejaVu Sans"/>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variable"/>
    <w:sig w:usb0="00000003" w:usb1="288F0000" w:usb2="00000006" w:usb3="00000000" w:csb0="00040001" w:csb1="00000000"/>
  </w:font>
  <w:font w:name="Lucida Sans">
    <w:altName w:val="Noto Naskh Arabic"/>
    <w:panose1 w:val="020B0602030504020204"/>
    <w:charset w:val="00"/>
    <w:family w:val="auto"/>
    <w:pitch w:val="variable"/>
    <w:sig w:usb0="00000000" w:usb1="00000000" w:usb2="00000000" w:usb3="00000000" w:csb0="20000001" w:csb1="00000000"/>
  </w:font>
  <w:font w:name="Arial">
    <w:altName w:val="DejaVu Sans"/>
    <w:panose1 w:val="020B0604020202020204"/>
    <w:charset w:val="01"/>
    <w:family w:val="swiss"/>
    <w:pitch w:val="variable"/>
    <w:sig w:usb0="E0002AFF" w:usb1="C0007843" w:usb2="00000009" w:usb3="00000000" w:csb0="400001FF" w:csb1="FFFF0000"/>
  </w:font>
</w:fonts>
</file>

<file path=word/glossary/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settings>
</file>

<file path=word/glossary/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5"/>
    <w:pPr>
      <w:kinsoku w:val="0"/>
      <w:autoSpaceDE w:val="0"/>
      <w:autoSpaceDN w:val="0"/>
      <w:adjustRightInd w:val="0"/>
      <w:snapToGrid w:val="0"/>
      <w:textAlignment w:val="baseline"/>
    </w:pPr>
    <w:rPr>
      <w:rFonts w:ascii="Arial" w:eastAsia="Arial" w:cs="Arial" w:hAnsi="Arial"/>
      <w:snapToGrid w:val="0"/>
      <w:color w:val="000000"/>
      <w:kern w:val="0"/>
      <w:sz w:val="21"/>
      <w:szCs w:val="21"/>
      <w:lang w:val="en-US" w:eastAsia="zh-CN" w:bidi="ar-SA"/>
    </w:rPr>
  </w:style>
  <w:style w:type="character" w:default="1" w:styleId="10">
    <w:name w:val="Default Paragraph Font"/>
    <w:qFormat/>
  </w:style>
  <w:style w:type="character" w:styleId="a3">
    <w:name w:val="Placeholder Text"/>
    <w:basedOn w:val="10"/>
    <w:rPr>
      <w:color w:val="808080"/>
    </w:rPr>
  </w:style>
</w:style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E070E855-4390-4228-9158-90837E107D03}">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WPS_Yozo_Office9.0.5233.191ZH.S1</Application>
  <Pages>54</Pages>
  <Words>0</Words>
  <Characters>28264</Characters>
  <Lines>0</Lines>
  <Paragraphs>34</Paragraphs>
  <CharactersWithSpaces>37686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liuhl</dc:creator>
  <cp:lastModifiedBy>zfu</cp:lastModifiedBy>
  <cp:revision>50</cp:revision>
  <cp:lastPrinted>2025-04-23T19:17:00Z</cp:lastPrinted>
  <dcterms:created xsi:type="dcterms:W3CDTF">2024-07-21T20:59:00Z</dcterms:created>
  <dcterms:modified xsi:type="dcterms:W3CDTF">2025-07-10T08:26:29Z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2052-11.8.2.10422</vt:lpwstr>
  </property>
  <property fmtid="{D5CDD505-2E9C-101B-9397-08002B2CF9AE}" pid="3" name="ICV">
    <vt:lpwstr>863E47D6C16AB3443EF7066852A934C0</vt:lpwstr>
  </property>
</Properties>
</file>