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bookmarkStart w:id="8" w:name="_GoBack"/>
      <w:bookmarkEnd w:id="8"/>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宁夏回族自治区固原市泾源县</w:t>
      </w:r>
    </w:p>
    <w:p>
      <w:pPr>
        <w:jc w:val="center"/>
        <w:rPr>
          <w:rFonts w:ascii="方正公文小标宋" w:eastAsia="方正公文小标宋"/>
          <w:sz w:val="84"/>
          <w:szCs w:val="84"/>
          <w:lang w:eastAsia="zh-CN"/>
        </w:rPr>
      </w:pPr>
      <w:r>
        <w:rPr>
          <w:rFonts w:ascii="方正公文小标宋" w:eastAsia="方正公文小标宋"/>
          <w:sz w:val="84"/>
          <w:szCs w:val="84"/>
          <w:lang w:eastAsia="zh-CN"/>
        </w:rPr>
        <w:t>香水镇</w:t>
      </w:r>
      <w:r>
        <w:rPr>
          <w:rFonts w:hint="eastAsia" w:ascii="方正公文小标宋" w:eastAsia="方正公文小标宋"/>
          <w:sz w:val="84"/>
          <w:szCs w:val="84"/>
          <w:lang w:eastAsia="zh-CN"/>
        </w:rPr>
        <w:t>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等线"/>
          <w:b/>
          <w:sz w:val="32"/>
          <w:lang w:eastAsia="zh-CN"/>
        </w:rPr>
      </w:pPr>
    </w:p>
    <w:sdt>
      <w:sdtPr>
        <w:rPr>
          <w:rFonts w:ascii="Arial" w:hAnsi="Arial" w:eastAsia="Arial" w:cs="Arial"/>
          <w:snapToGrid w:val="0"/>
          <w:color w:val="000000"/>
          <w:sz w:val="21"/>
          <w:szCs w:val="21"/>
          <w:lang w:val="zh-CN"/>
        </w:rPr>
        <w:id w:val="-1502632757"/>
        <w:docPartObj>
          <w:docPartGallery w:val="Table of Contents"/>
          <w:docPartUnique/>
        </w:docPartObj>
      </w:sdtPr>
      <w:sdtEndPr>
        <w:rPr>
          <w:rFonts w:ascii="Arial" w:hAnsi="Arial" w:eastAsia="Arial" w:cs="Arial"/>
          <w:b/>
          <w:bCs/>
          <w:snapToGrid w:val="0"/>
          <w:color w:val="000000"/>
          <w:sz w:val="21"/>
          <w:szCs w:val="21"/>
          <w:lang w:val="zh-CN"/>
        </w:rPr>
      </w:sdtEndPr>
      <w:sdtContent>
        <w:p>
          <w:pPr>
            <w:pStyle w:val="22"/>
            <w:jc w:val="center"/>
            <w:rPr>
              <w:rFonts w:hint="eastAsia"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rPr>
              <w:lang w:val="zh-CN"/>
            </w:rPr>
          </w:pP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2.</w:t>
          </w:r>
          <w:r>
            <w:fldChar w:fldCharType="begin"/>
          </w:r>
          <w:r>
            <w:instrText xml:space="preserve"> HYPERLINK \l "_Toc176767294" </w:instrText>
          </w:r>
          <w:r>
            <w:fldChar w:fldCharType="separate"/>
          </w:r>
          <w:r>
            <w:rPr>
              <w:rFonts w:eastAsia="方正公文小标宋" w:cs="Times New Roman"/>
              <w:lang w:eastAsia="zh-CN"/>
            </w:rPr>
            <w:t>配合履职事项清单</w:t>
          </w:r>
          <w:r>
            <w:tab/>
          </w:r>
          <w:r>
            <w:fldChar w:fldCharType="begin"/>
          </w:r>
          <w:r>
            <w:instrText xml:space="preserve"> PAGEREF _Toc176767294 \h </w:instrText>
          </w:r>
          <w:r>
            <w:fldChar w:fldCharType="separate"/>
          </w:r>
          <w:r>
            <w:t>14</w:t>
          </w:r>
          <w:r>
            <w:fldChar w:fldCharType="end"/>
          </w:r>
          <w:r>
            <w:fldChar w:fldCharType="end"/>
          </w:r>
        </w:p>
        <w:p>
          <w:pPr>
            <w:pStyle w:val="10"/>
            <w:numPr>
              <w:ilvl w:val="0"/>
              <w:numId w:val="0"/>
            </w:numPr>
            <w:tabs>
              <w:tab w:val="right" w:leader="dot" w:pos="13991"/>
            </w:tabs>
            <w:rPr>
              <w:rFonts w:hint="eastAsia" w:ascii="等线" w:hAnsi="等线" w:eastAsia="方正公文仿宋" w:cs="Arial"/>
              <w:snapToGrid/>
              <w:color w:val="auto"/>
              <w:kern w:val="2"/>
              <w:sz w:val="21"/>
              <w:szCs w:val="22"/>
              <w:lang w:val="en-US" w:eastAsia="zh-CN"/>
            </w:rPr>
          </w:pPr>
          <w:r>
            <w:rPr>
              <w:rFonts w:hint="eastAsia"/>
              <w:lang w:val="en-US" w:eastAsia="zh-CN"/>
            </w:rPr>
            <w:t>3.</w:t>
          </w:r>
          <w:r>
            <w:fldChar w:fldCharType="begin"/>
          </w:r>
          <w:r>
            <w:instrText xml:space="preserve"> HYPERLINK \l "_Toc176767295" </w:instrText>
          </w:r>
          <w:r>
            <w:fldChar w:fldCharType="separate"/>
          </w:r>
          <w:r>
            <w:rPr>
              <w:rFonts w:eastAsia="方正公文小标宋" w:cs="Times New Roman"/>
              <w:lang w:eastAsia="zh-CN"/>
            </w:rPr>
            <w:t>上级部门收回事项清单</w:t>
          </w:r>
          <w:r>
            <w:tab/>
          </w:r>
          <w:r>
            <w:rPr>
              <w:rFonts w:hint="eastAsia"/>
              <w:lang w:val="en-US" w:eastAsia="zh-CN"/>
            </w:rPr>
            <w:t>4</w:t>
          </w:r>
          <w:r>
            <w:fldChar w:fldCharType="end"/>
          </w:r>
          <w:r>
            <w:rPr>
              <w:rFonts w:hint="eastAsia"/>
              <w:lang w:val="en-US" w:eastAsia="zh-CN"/>
            </w:rPr>
            <w:t>4</w:t>
          </w:r>
        </w:p>
        <w:p>
          <w:r>
            <w:rPr>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5"/>
          <w:rFonts w:ascii="Times New Roman" w:hAnsi="Times New Roman" w:eastAsia="方正公文小标宋" w:cs="Times New Roman"/>
          <w:color w:val="0563C1"/>
          <w:sz w:val="32"/>
          <w:u w:val="none"/>
          <w:lang w:eastAsia="zh-CN"/>
        </w:rPr>
      </w:pPr>
    </w:p>
    <w:p>
      <w:pPr>
        <w:rPr>
          <w:rStyle w:val="15"/>
          <w:rFonts w:ascii="Times New Roman" w:hAnsi="Times New Roman" w:eastAsia="方正公文小标宋" w:cs="Times New Roman"/>
          <w:color w:val="0563C1"/>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公文小标宋" w:cs="Times New Roman"/>
          <w:b w:val="0"/>
          <w:color w:val="auto"/>
          <w:spacing w:val="7"/>
          <w:lang w:eastAsia="zh-CN"/>
        </w:rPr>
      </w:pPr>
      <w:bookmarkStart w:id="0" w:name="_Toc176767293"/>
      <w:bookmarkStart w:id="1" w:name="_Toc172077416"/>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2"/>
        <w:tblW w:w="140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2"/>
        <w:gridCol w:w="13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rPr>
            </w:pPr>
            <w:r>
              <w:rPr>
                <w:rFonts w:ascii="Times New Roman" w:hAnsi="Times New Roman" w:eastAsia="方正公文黑体" w:cs="Times New Roman"/>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黑体" w:cs="Times New Roman"/>
                <w:lang w:eastAsia="zh-CN"/>
              </w:rPr>
            </w:pPr>
            <w:r>
              <w:rPr>
                <w:rStyle w:val="20"/>
                <w:rFonts w:ascii="Times New Roman" w:hAnsi="Times New Roman" w:eastAsia="方正公文黑体" w:cs="Times New Roman"/>
                <w:color w:val="auto"/>
                <w:lang w:eastAsia="zh-CN"/>
              </w:rPr>
              <w:t>一、党的建设（</w:t>
            </w:r>
            <w:r>
              <w:rPr>
                <w:rStyle w:val="20"/>
                <w:rFonts w:ascii="Times New Roman" w:hAnsi="Times New Roman" w:eastAsia="方正公文黑体" w:cs="Times New Roman"/>
                <w:color w:val="auto"/>
                <w:lang w:val="en-US" w:eastAsia="zh-CN"/>
              </w:rPr>
              <w:t>2</w:t>
            </w:r>
            <w:r>
              <w:rPr>
                <w:rStyle w:val="20"/>
                <w:rFonts w:hint="eastAsia" w:ascii="Times New Roman" w:hAnsi="Times New Roman" w:eastAsia="方正公文黑体" w:cs="Times New Roman"/>
                <w:color w:val="auto"/>
                <w:lang w:val="en-US" w:eastAsia="zh-CN"/>
              </w:rPr>
              <w:t>4</w:t>
            </w:r>
            <w:r>
              <w:rPr>
                <w:rStyle w:val="20"/>
                <w:rFonts w:ascii="Times New Roman" w:hAnsi="Times New Roman" w:eastAsia="方正公文黑体" w:cs="Times New Roman"/>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 w:eastAsia="zh-CN"/>
              </w:rPr>
              <w:t>学习贯彻</w:t>
            </w:r>
            <w:r>
              <w:rPr>
                <w:rFonts w:ascii="Times New Roman" w:hAnsi="Times New Roman" w:eastAsia="方正公文仿宋" w:cs="Times New Roman"/>
                <w:lang w:val="en-US" w:eastAsia="zh-CN"/>
              </w:rPr>
              <w:t>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落实党中央决策部署及上级党委工作要求，讨论和决定乡镇经济建设、政治建设、文化建设、社会建设、生态文明建设和党的建设及乡村振兴中的重大问题，落实全面深化改革涉及的具体任务。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管理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val="en-US" w:eastAsia="zh-CN"/>
              </w:rPr>
              <w:t>落实基层党组织领导的基层群众自治制度，指导村委会、村监委会规范化建设，加强换届选举的监督和指导，指导村建强人民调解、治安保卫等委员会，推进民主自治。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按照干部管理权限，负责干部的教育、培训、选拔、考核和监督工作，协助管理上级有关部门派驻单位干部，做好人才服务和引进工作。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落实纪委监督责任，推动乡村两级监督体系建设，做好群众来信、来访、来电及网络举报的受理，按照权限分类处置问题线索，配合上级纪委做好案件监督管理、执纪执法评查等工作。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落实意识形态工作责任制和网络安全工作责任制，加强网络阵地建设和管理，引导基层党组织及党员主动参与网上正能量建设</w:t>
            </w:r>
            <w:r>
              <w:rPr>
                <w:rFonts w:hint="eastAsia" w:ascii="Times New Roman" w:hAnsi="Times New Roman" w:eastAsia="方正公文仿宋" w:cs="Times New Roman"/>
                <w:lang w:eastAsia="zh-CN"/>
              </w:rPr>
              <w:t>，</w:t>
            </w:r>
            <w:r>
              <w:rPr>
                <w:rFonts w:ascii="Times New Roman" w:hAnsi="Times New Roman" w:eastAsia="方正公文仿宋" w:cs="Times New Roman"/>
                <w:lang w:eastAsia="zh-CN"/>
              </w:rPr>
              <w:t>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负责组织本辖区召开乡镇人民代表大会，按照要求做好人大代表选举工作，组织人大代表开展视察调研，加强人大代表家站建设，强化人大代表履职保障工作，办理和督促办理人大代表议案建议。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加强对工会工作的领导，发挥工会组织在推动产业工人队伍建设改革、维护职工合法权益等方面桥梁纽带作用。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负责妇联基层组织建设，指导各村开展妇女儿童工作，维护妇女儿童合法权益。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落实党管武装政治责任，加强基层武装部阵地规范化建设，开展双拥、国防教育以及潜力统计、民兵整组等国防动员工作，配合做好兵役登记和征兵相关工作。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二、经济发展（1</w:t>
            </w:r>
            <w:r>
              <w:rPr>
                <w:rStyle w:val="20"/>
                <w:rFonts w:ascii="Times New Roman" w:hAnsi="Times New Roman" w:eastAsia="方正公文黑体" w:cs="Times New Roman"/>
                <w:color w:val="auto"/>
                <w:lang w:eastAsia="zh-CN"/>
              </w:rPr>
              <w:t>5</w:t>
            </w:r>
            <w:r>
              <w:rPr>
                <w:rStyle w:val="20"/>
                <w:rFonts w:ascii="Times New Roman" w:hAnsi="Times New Roman" w:eastAsia="方正公文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eastAsia="zh-CN"/>
              </w:rPr>
            </w:pPr>
            <w:r>
              <w:rPr>
                <w:rFonts w:hint="eastAsia" w:ascii="Times New Roman" w:hAnsi="Times New Roman" w:eastAsia="方正公文仿宋" w:cs="Times New Roman"/>
                <w:lang w:val="en-US" w:eastAsia="zh-CN"/>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编制并执行财政预决算，加强和规范镇、村两级财务收支管理。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指导发展农村集体经济，负责村、社区集体经济组织资金、资产、资源的监督管理，监督指导农村集体产权制度改革。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负责闽宁协作帮扶工作，开展交流互访、商议帮扶事项和签订帮扶协议，实现优势互补，促进辖区经济社会发展及脱贫致富。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推动肉牛、菌菇、中药材等产业高质量发展，扩大基地建设和联农带农规模，在品种、规模、质量、市场、销售、品牌等方面做全链条示范。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依托独特区位优势和资源禀赋，围绕剪纸、刺绣、根雕、泾源黄牛肉等泾源特色产品和非遗文化，发挥产业优势，推动农文旅深度融合。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研究光伏产业政策，立足风力和光照条件，发展风电和光伏业态，加强村社联合，开展移民就业、手工制作、劳务输出，促进移民有产业有就业能融入，多渠道增加村集体和农民收入。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三、民生服务（</w:t>
            </w:r>
            <w:r>
              <w:rPr>
                <w:rStyle w:val="20"/>
                <w:rFonts w:ascii="Times New Roman" w:hAnsi="Times New Roman" w:eastAsia="方正公文黑体" w:cs="Times New Roman"/>
                <w:color w:val="auto"/>
                <w:lang w:eastAsia="zh-CN"/>
              </w:rPr>
              <w:t>16</w:t>
            </w:r>
            <w:r>
              <w:rPr>
                <w:rStyle w:val="20"/>
                <w:rFonts w:ascii="Times New Roman" w:hAnsi="Times New Roman" w:eastAsia="方正公文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统筹辖区审批服务力量和资源，加强便民服务中心和村、社区综合服务站点建设，依法依规开展审批服务和帮办代办工作，实行“一站式服务”、“一门式办理”。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对未成年人保护工作的领导，支持、指导村（居）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养老服务补贴、护理补贴、高龄津贴申请受理、审核及上报工作，建立好独居、空巢、失能、重残特殊家庭老年人台账，指导村、社区做好日间照料中心、社区食堂、老年活动室、老年饭桌、适老化改造、探访关爱服务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落实食品安全工作责任，加强食品安全宣传教育，督促指导辖区执法力量依法履行工作职责。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加强退役军人服务站规范化建设，做好退役军人就业创业扶持、优抚帮扶、走访慰问、权益维护等服务保障工作。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负责劳务管理服务工作，开展劳动力资源摸排，做好劳务输出和乡村公益性岗位人员资格初审日常管理工作。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做好城乡居民基本养老保险、灵活就业人员养老保险的信息采集、参保登记、待遇领取认证等相关工作。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Style w:val="20"/>
                <w:rFonts w:ascii="Times New Roman" w:hAnsi="Times New Roman" w:eastAsia="方正公文黑体" w:cs="Times New Roman"/>
                <w:color w:val="auto"/>
                <w:lang w:val="en-US" w:eastAsia="zh-CN"/>
              </w:rPr>
              <w:t>四、平安法治（</w:t>
            </w:r>
            <w:r>
              <w:rPr>
                <w:rStyle w:val="20"/>
                <w:rFonts w:ascii="Times New Roman" w:hAnsi="Times New Roman" w:eastAsia="方正公文黑体" w:cs="Times New Roman"/>
                <w:color w:val="auto"/>
                <w:lang w:eastAsia="zh-CN"/>
              </w:rPr>
              <w:t>1</w:t>
            </w:r>
            <w:r>
              <w:rPr>
                <w:rStyle w:val="20"/>
                <w:rFonts w:hint="eastAsia" w:ascii="Times New Roman" w:hAnsi="Times New Roman" w:eastAsia="方正公文黑体" w:cs="Times New Roman"/>
                <w:color w:val="auto"/>
                <w:lang w:val="en-US" w:eastAsia="zh-CN"/>
              </w:rPr>
              <w:t>4</w:t>
            </w:r>
            <w:r>
              <w:rPr>
                <w:rStyle w:val="20"/>
                <w:rFonts w:ascii="Times New Roman" w:hAnsi="Times New Roman" w:eastAsia="方正公文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加强全民普法宣教服务，实施乡村（社区）“法律明白人”培养工程，推进基层法治文化建设，开展公共法律服务。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加强社会治安综合治理，开展社会涉稳风险研判、风险预警等工作，完善群防群治队伍，防范化解社会稳定风险。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常态化开展扫黑除恶宣传教育和线索摸排工作。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落实“塞上枫桥”基层法治工作机制“1+1+3”固原实践和“4+N”乡村一体下沉联合化解工作机制，做好矛盾纠纷防范、排查、化解和回访工作，及时管控处置危及政治安全和社会稳定的突发案事件。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依法成立乡镇人民调解委员会，统筹派出所、司法所、人民法庭等力量，做好人民调解工作。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完善信访联席工作会议机制，受理、办理信访人提出的信访事项，做好职权范围内信访人员疏导教育、帮扶救助、属地稳控等工作，建立健全信访应急预案，联动协同处置突发事件，督导村（社区）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开展反邪教宣传教育和涉邪教人员的教育转化工作。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加强保障铁路安全教育，落实护路联防责任制，防范和制止危害铁路安全的行为。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b/>
                <w:bCs/>
                <w:i w:val="0"/>
                <w:snapToGrid w:val="0"/>
                <w:color w:val="000000"/>
                <w:kern w:val="0"/>
                <w:sz w:val="21"/>
                <w:szCs w:val="21"/>
                <w:u w:val="none"/>
                <w:lang w:val="en-US" w:eastAsia="zh-CN"/>
              </w:rPr>
            </w:pPr>
            <w:r>
              <w:rPr>
                <w:rStyle w:val="20"/>
                <w:rFonts w:ascii="Times New Roman" w:hAnsi="Times New Roman" w:eastAsia="方正公文黑体" w:cs="Times New Roman"/>
                <w:color w:val="auto"/>
                <w:lang w:val="en-US" w:eastAsia="zh-CN"/>
              </w:rPr>
              <w:t>五、乡村振兴（</w:t>
            </w:r>
            <w:r>
              <w:rPr>
                <w:rStyle w:val="20"/>
                <w:rFonts w:ascii="Times New Roman" w:hAnsi="Times New Roman" w:eastAsia="方正公文黑体" w:cs="Times New Roman"/>
                <w:color w:val="auto"/>
                <w:lang w:eastAsia="zh-CN"/>
              </w:rPr>
              <w:t>10</w:t>
            </w:r>
            <w:r>
              <w:rPr>
                <w:rStyle w:val="20"/>
                <w:rFonts w:ascii="Times New Roman" w:hAnsi="Times New Roman" w:eastAsia="方正公文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巩固拓展脱贫攻坚成果同乡村振兴有效衔接，开展易返贫致贫人口动态监测预警，对符合条件的纳入监测对象并制定落实帮扶措施，做好帮扶项目的监督管理等相关工作。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开展农村人居环境整治和长效管理工作，综合整治农村水系、因地制宜推广卫生厕所和简便易行的垃圾分类，治理农村垃圾和污水，加强乡村无障碍设施建设，持续改善农村人居环境。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以农副产品加工为基础，引导企业、村集体经济、农户抱团入园开展加工，提高农牧业产品的附加值。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利用建成扶贫车间资源，支持现有私营企业提质增效，盘活各类生产要素，以商招商发展轻工业。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Style w:val="20"/>
                <w:rFonts w:ascii="Times New Roman" w:hAnsi="Times New Roman" w:eastAsia="方正公文黑体" w:cs="Times New Roman"/>
                <w:color w:val="auto"/>
                <w:lang w:val="en-US" w:eastAsia="zh-CN"/>
              </w:rPr>
              <w:t>六、民族宗教（8项）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用好区域特色文化和旅游资源禀赋，讲好红色故事、团结故事、发展故事，构建中华民族共有精神家园。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巩固和发展平等团结互助和谐的社会主义民族关系，依法治理民族事务，妥善处理涉及民族因素的矛盾纠纷，保障各民族合法权益，保障少数民族保持或者改革自己的风俗习惯的自由。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学习宣传贯彻党的宗教工作理论和方针政策以及法律、法规、规章，化解处置宗教领域矛盾纠纷。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加强基层宗教工作，建立健全宗教网络体系和乡村两级责任制。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指导宗教活动场所管理组织的成立、换届和成员调整，加强宗教教职人员的日常管理。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加强宗教活动场所日常管理，开展日常安全检查，指导宗教活动场所管理组织依法办理土地、规划、建设、消防等手续。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加强宗教活动管理，做好活动期间秩序维护等工作，及时报告并协助有关部门查处非法宗教活动。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七、自然资源（9项）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lang w:val="en-US" w:eastAsia="zh-CN"/>
              </w:rPr>
            </w:pPr>
            <w:r>
              <w:rPr>
                <w:rFonts w:hint="eastAsia"/>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落实饮用水水源地保护责任，组织开展饮用水水源地保护宣传、巡查工作。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落实“四水四定”指标任务，负责农业灌溉工作。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八、生态环保（</w:t>
            </w:r>
            <w:r>
              <w:rPr>
                <w:rStyle w:val="20"/>
                <w:rFonts w:ascii="Times New Roman" w:hAnsi="Times New Roman" w:eastAsia="方正公文黑体" w:cs="Times New Roman"/>
                <w:color w:val="auto"/>
                <w:lang w:eastAsia="zh-CN"/>
              </w:rPr>
              <w:t>9</w:t>
            </w:r>
            <w:r>
              <w:rPr>
                <w:rStyle w:val="20"/>
                <w:rFonts w:ascii="Times New Roman" w:hAnsi="Times New Roman" w:eastAsia="方正公文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开展节能降碳工作，加强民用散煤的管理，推广使用清洁能源、可再生能源。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加强对建设施工和运输的管理，依据职责做好扬尘等大气污染防治相关工作。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九、城乡建设（</w:t>
            </w:r>
            <w:r>
              <w:rPr>
                <w:rStyle w:val="20"/>
                <w:rFonts w:ascii="Times New Roman" w:hAnsi="Times New Roman" w:eastAsia="方正公文黑体" w:cs="Times New Roman"/>
                <w:color w:val="auto"/>
                <w:lang w:eastAsia="zh-CN"/>
              </w:rPr>
              <w:t>6</w:t>
            </w:r>
            <w:r>
              <w:rPr>
                <w:rStyle w:val="20"/>
                <w:rFonts w:ascii="Times New Roman" w:hAnsi="Times New Roman" w:eastAsia="方正公文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指导业主大会的成立和业主委员会换届工作，对选举产生的业主委员会进行备案，监督业主大会、业主委员会依法履行职责，调解业主、业主委员会与物业服务企业之间的管理纠纷，督促指导社区做好“三无”小区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十、文化和旅游（</w:t>
            </w:r>
            <w:r>
              <w:rPr>
                <w:rStyle w:val="20"/>
                <w:rFonts w:ascii="Times New Roman" w:hAnsi="Times New Roman" w:eastAsia="方正公文黑体" w:cs="Times New Roman"/>
                <w:color w:val="auto"/>
                <w:lang w:eastAsia="zh-CN"/>
              </w:rPr>
              <w:t>5</w:t>
            </w:r>
            <w:r>
              <w:rPr>
                <w:rStyle w:val="20"/>
                <w:rFonts w:ascii="Times New Roman" w:hAnsi="Times New Roman" w:eastAsia="方正公文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落实旅游产业发展规划，支持和发展乡村旅游，挖掘本地人文历史，讲好本地文化旅游故事，加强乡村旅游点、民宿等旅游产品项目招商引资。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盘活存量农家乐群体，大力发展以商贸服务、农家接待、土特产销售为主的旅游业，助力全域旅游有载体多业态。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十一、卫生健康（4项）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开展爱国卫生运动和健康促进行动，进行健康教育宣传普及，开展病媒生物防治、禁控烟等工作，加强环境卫生建设。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组织开展预防精神障碍发生、促进精神障碍患者康复、为生活困难家庭提供帮助等工作。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组织协调村（居）委员会做好流浪犬、猫的控制和处置，做好农村地区饲养犬只的防疫管理工作。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十二、应急管理及消防（4项）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安置以及应急知识宣传普及等应急管理工作、社会治安秩序维护和灾后受灾群众生产生活恢复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消防安全责任制，加强对农村消防工作的领导，指导、支持和帮助村（居）委员会开展群众性的消防工作，根据需要建立专职消防队、志愿消防队，承担火灾扑救、应急救援、疏散群众等职能，并开展消防宣传、消防演练、防火巡查、督促隐患整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开展森林草原防火宣传、普及森林草原防火法律法规和避险知识，发挥群防作用。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十三、</w:t>
            </w:r>
            <w:r>
              <w:rPr>
                <w:rStyle w:val="20"/>
                <w:rFonts w:ascii="Times New Roman" w:hAnsi="Times New Roman" w:eastAsia="方正公文黑体" w:cs="Times New Roman"/>
                <w:color w:val="auto"/>
                <w:lang w:eastAsia="zh-CN"/>
              </w:rPr>
              <w:t>社区治理</w:t>
            </w:r>
            <w:r>
              <w:rPr>
                <w:rStyle w:val="20"/>
                <w:rFonts w:ascii="Times New Roman" w:hAnsi="Times New Roman" w:eastAsia="方正公文黑体" w:cs="Times New Roman"/>
                <w:color w:val="auto"/>
                <w:lang w:val="en-US" w:eastAsia="zh-CN"/>
              </w:rPr>
              <w:t>（</w:t>
            </w:r>
            <w:r>
              <w:rPr>
                <w:rStyle w:val="20"/>
                <w:rFonts w:ascii="Times New Roman" w:hAnsi="Times New Roman" w:eastAsia="方正公文黑体" w:cs="Times New Roman"/>
                <w:color w:val="auto"/>
                <w:lang w:eastAsia="zh-CN"/>
              </w:rPr>
              <w:t>7</w:t>
            </w:r>
            <w:r>
              <w:rPr>
                <w:rStyle w:val="20"/>
                <w:rFonts w:ascii="Times New Roman" w:hAnsi="Times New Roman" w:eastAsia="方正公文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指导社区统一划分基础网格，明确网格管理服务事项，优化网格化服务水平，实行“微网格”管理。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建立社区物业党建联建和协调共治机制，落实城市基层党建引领基层治理各项工作任务。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组织申报创建和谐社区，总结推广“一社区一品牌”建设工作。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负责落实社区治理工作机制，开展“网格大走访”了解社情民意，及时排查化解各类矛盾纠纷。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指导社区落实自治、法治、德治和社区党群服务中心规范化建设，指导社区做好公共用房产权移交。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负责对未达到登记条件的社区社会组织实施备案管理，强化社区党组织、居民委员会对社区社会组织活动进行监督管理。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做好社工工作，开展“五社联动”服务项目。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十</w:t>
            </w:r>
            <w:r>
              <w:rPr>
                <w:rStyle w:val="20"/>
                <w:rFonts w:ascii="Times New Roman" w:hAnsi="Times New Roman" w:eastAsia="方正公文黑体" w:cs="Times New Roman"/>
                <w:color w:val="auto"/>
                <w:lang w:eastAsia="zh-CN"/>
              </w:rPr>
              <w:t>四</w:t>
            </w:r>
            <w:r>
              <w:rPr>
                <w:rStyle w:val="20"/>
                <w:rFonts w:ascii="Times New Roman" w:hAnsi="Times New Roman" w:eastAsia="方正公文黑体" w:cs="Times New Roman"/>
                <w:color w:val="auto"/>
                <w:lang w:val="en-US" w:eastAsia="zh-CN"/>
              </w:rPr>
              <w:t>、综合政务（10项）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对公共场所悬挂的党徽党旗、国徽国旗使用情况开展排查，对不规范使用的行为督促整改。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bookmarkStart w:id="4" w:name="_Toc172077552"/>
      <w:bookmarkStart w:id="5" w:name="_Toc172077950"/>
      <w:bookmarkStart w:id="6" w:name="_Toc172077417"/>
      <w:bookmarkStart w:id="7" w:name="_Toc17676729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7"/>
        <w:gridCol w:w="1814"/>
        <w:gridCol w:w="1814"/>
        <w:gridCol w:w="4842"/>
        <w:gridCol w:w="4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lang w:eastAsia="zh-CN"/>
              </w:rPr>
            </w:pPr>
            <w:r>
              <w:rPr>
                <w:rFonts w:hint="eastAsia" w:ascii="Times New Roman" w:hAnsi="Times New Roman" w:eastAsia="方正公文黑体"/>
                <w:color w:val="auto"/>
                <w:lang w:eastAsia="zh-CN"/>
              </w:rPr>
              <w:t>乡镇</w:t>
            </w:r>
            <w:r>
              <w:rPr>
                <w:rFonts w:ascii="Times New Roman" w:hAnsi="Times New Roman" w:eastAsia="方正公文黑体"/>
                <w:color w:val="auto"/>
                <w:lang w:eastAsia="zh-CN"/>
              </w:rPr>
              <w:t>（</w:t>
            </w:r>
            <w:r>
              <w:rPr>
                <w:rFonts w:hint="eastAsia" w:ascii="Times New Roman" w:hAnsi="Times New Roman" w:eastAsia="方正公文黑体"/>
                <w:color w:val="auto"/>
                <w:lang w:eastAsia="zh-CN"/>
              </w:rPr>
              <w:t>街道）</w:t>
            </w:r>
            <w:r>
              <w:rPr>
                <w:rFonts w:ascii="Times New Roman" w:hAnsi="Times New Roman" w:eastAsia="方正公文黑体"/>
                <w:color w:val="auto"/>
                <w:lang w:eastAsia="zh-CN"/>
              </w:rPr>
              <w:t>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textAlignment w:val="center"/>
              <w:rPr>
                <w:rFonts w:ascii="Times New Roman" w:hAnsi="Times New Roman" w:eastAsia="方正公文黑体"/>
                <w:color w:val="auto"/>
                <w:lang w:eastAsia="zh-CN"/>
              </w:rPr>
            </w:pPr>
            <w:r>
              <w:rPr>
                <w:rStyle w:val="20"/>
                <w:rFonts w:hint="eastAsia" w:hAnsi="方正公文黑体" w:eastAsia="方正公文黑体"/>
                <w:color w:val="auto"/>
                <w:lang w:eastAsia="zh-CN"/>
              </w:rPr>
              <w:t>一、民生服务（</w:t>
            </w:r>
            <w:r>
              <w:rPr>
                <w:rStyle w:val="20"/>
                <w:rFonts w:ascii="Times New Roman" w:hAnsi="方正公文黑体" w:eastAsia="方正公文黑体"/>
                <w:color w:val="auto"/>
                <w:lang w:eastAsia="zh-CN"/>
              </w:rPr>
              <w:t>5</w:t>
            </w:r>
            <w:r>
              <w:rPr>
                <w:rStyle w:val="20"/>
                <w:rFonts w:hint="eastAsia" w:hAnsi="方正公文黑体" w:eastAsia="方正公文黑体"/>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流浪乞讨人员救助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对乡镇上报流浪乞讨人员进行汇总、核查；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对符合条件人员进行救助，对不符合条件人员告知理由。</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发现、上报流浪乞讨人员信息；</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对本辖区有监护人的流浪乞讨人员进行帮扶安置。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开展散居老人能力评估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负责开展社会化养老、特困人员全面核查及探访关怀、散居老人能力评估。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配合组织人员参加评估；</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宣传社会化养老政策。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创业担保贷款审批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会同经办银行对申请人员的项目规模、经营收入、社会保险缴纳、社会信用、负债等情况进行实地考察评估后发放贷款。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离校未就业毕业生、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毕业去向核实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统筹提供就业信息。</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核实</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就业情况；</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在非祭祀点开展祭祀活动的监督管理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1.各部门按照分工职责加强管理，定期开展联合执法活动；</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2.在重点祭祀节日前加强政策宣传。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1.负责辖区内文明祭祀工作的部署、协调、指导；</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2.负责对辖区内公共场所进行巡查，配合相关部门开展劝导工作。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二、平安法治（6项）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涉行业部门信访事项办理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县信访局及有关行业部门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县信访局：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1.受理、转送、交办信访事项；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2.协调解决重要信访问题；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3.督促检查重要信访事项的处理和落实；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4.综合反映信访信息，分析研判信访形势，为党委和政府提供决策参考；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5.指导本级其他机关、单位和下级的信访工作；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6.提出改进工作、完善政策和追究责任的建议；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7.承担本级党委和政府交办的其他事项。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县信访联席会议各成员单位：做好各自职责范围内的信访工作，按照规定及时受理办理信访事项，预防和化解政策性、群体性信访问题，加强对下级机关、单位信访工作的指导。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配合行业部门做好人员稳控工作。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防范和处置非法集资</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1.负责协调本级防范和处置非法集资工作，汇总、上报有关工作信息；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2.全面做好非法集资风险排查和监测预警工作，加强政策解读，通报相关形势，统筹做好宣传教育工作，提高防范非法集资宣传教育的针对性、有效性；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3.完成上级部门交办的各项防范和处置非法集资工作。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县公安局：负责对涉嫌非法集资的案件进行立案侦查，依法打击犯罪分子，保护受害者的合法权益。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县市场监督管理局：开展涉嫌非法集资广告资讯信息排查、处理工作。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1.明确负责防范和处置非法集资的工作人员；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2.开展防范非法集资宣传工作；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3.建立健全日常巡查、专项检查、随机抽查和集中排查等多种方式的主动风险排查机制，发现所在区域有涉嫌非法集资行为的，及时上报。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打击传销</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县市场监督管理局：依法查处为传销行为提供经营场所、培训场所、货源储存等条件的行为,对涉嫌犯罪的依法移送公安机关立案侦查。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县公安局：立案侦查传销案件，对经侦查不构成犯罪的，应当依法移交市场监督管理局查处。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1.开展防范非法传销政策宣传，发现问题线索及时上报；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2.协助有关部门查处传销行为。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扫黄打非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县委宣传部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1.传达落实上级文件精神，开展“扫黄打非”进基层宣传工作；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2.制定工作计划，定期召开“扫黄打非”专题会议，研判“扫黄打非”工作新形势；</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3.开展线上线下巡查工作，发现非法有害出版物和不良信息及时向上级“扫黄打非”相关部门汇报并配合执法部门依法查处。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1.负责“扫黄打非”宣传工作；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2.发现问题线索及时上报主管部门。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校外培训机构监督管理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县教育体育局：负责查处未取得办学许可证违法经营的机构，并在做好办学许可证审批工作基础上，重点做好培训内容、培训班次、招生对象、教师资格及培训行为的监管工作，牵头组织校外培训市场综合执法。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县文化旅游广电局：做好艺术类校外培训机构的培训业务指导工作。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县市场监督管理局：重点做好相关登记、收费、广告宣传、反垄断等方面的监管工作。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1.将校外培训机构巡查纳入网格员日常工作，发现问题及时劝导制止，并上报给县教育体育局；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2.协助相关部门及时核实投诉举报；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3.协助各行业主管部门开展校外培训机构综合整治。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校园周边安全治理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县教育体育局：指导监督学校依法健全各项安全管理制度。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县公安局：对校园周边出租房屋、宾馆、酒店等重点场所清理整治，落实“护学岗”高峰勤务，配合清理校园周边各类违规培训班、托管班。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县市场监督管理局：负责校园周边经营单位食品安全、产品质量安全的监督管理。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县城乡建设和交通运输局：负责校园周边占道经营违法行为的查处。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1.开展校园周边防火、用水、用电、饮食卫生、交通安全等方面的宣传教育活动；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2.开展未成年人防溺水安全知识宣传，危险水域巡查、管控；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三、乡村振兴（11项）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农产品质量安全监管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1.负责食用农产品从种植养殖环节到进入批发、零售市场或者生产加工企业前的质量安全监督管理；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2.负责兽药、饲料添加剂、农药、肥料等其他农业投入品质量及使用的监督管理；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3.负责动植物疫病防控、畜禽屠宰环节、生鲜乳收购环节质量安全监督管理。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县市场监督管理局：负责对农业流通领域食用农产品经营、食品生产经营活动实施监督管理。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1.开展质量安全控制技术指导服务及培训宣传；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2.发生农产品质量安全事故时，应当及时处理并报上级有关部门。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2.设置临时动物检疫消毒站以及采取隔离、扑杀、销毁、消毒、紧急免疫接种等控制、扑灭措施；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1.宣传动物疫病防治相关知识，加强日常巡查，发现异常情况及时上报；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2.发生重大动物疫情时，协助做好疫情信息的收集工作；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3.组织力量，协助做好疫情信息各项应急处理措施的落实工作。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脱贫小额贷款风险防控</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1.对乡镇上报贷款信息进行系统录入；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2.每月对小额信贷贷款情况进行通报；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1.宣传贷款政策；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2.定期提醒农户按期还款付息。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对集体资产产权引起的争议的处理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1.指导村集体建立村集体资产管理台账，做好资产管理；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2.对村集体资产定期开展审计、审查；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3.对村集体资产产权引起的争议进行调处。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1.建立健全村集体资产管理制度；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2.每年开展一次村集体“三资”清查；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3.配合做好集体资产产权引起的争议的调处工作。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农作物病虫害防治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1.组织开展农作物病虫害监测并及时向上级部门报告监测信息，发布农作物病虫害预报；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2.组织制定本行政区域农作物病虫害预防控制方案，健全农作物病虫害防治体系；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3.为农业生产经营者提供技术培训、指导、服务，指导农业生产经营者选用抗病、抗虫品种等健康栽培管理措施预防病虫害；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1.深入田间地头做好技术宣传培训，指导安全用药，加强“飞防”作业监管等；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2.协助做好农作物病虫害监测预报工作，发现问题及时上报农业农村部门；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畜牧业、渔业生产监管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1.负责畜牧业、渔业生产发展技术的引进，饲草种植和利用技术及动物防疫新技术示范、推广服务工作；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2.负责对畜禽饲养环境、种畜禽质量、畜禽交易与运输、畜禽屠宰以及饲料、饲料添加剂、兽药等投入品的生产、经营、使用的监督管理。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1.开展畜牧业、渔业日常巡查，发现问题及时上报；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县农业农村局：牵头负责农业生产领域安全生产的监督管理，统筹各部门对各类安全生产隐患和违法行为进行查处。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县应急管理局：按照职责对辖区内农业生产领域安全生产工作实施综合监督管理。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县市场监督管理局：负责农业生产领域证照、特种设备的监督管理，对安全隐患和违法行为进行查处。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1.对本辖区大棚房等农业生产领域进行安全检查；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2.发现安全生产隐患和违法行为，对具备处置能力的及时制止，责令限期整改；对拒不整改、存在重大安全隐患等情形的及时上报有关部门。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畜禽私屠滥宰的监督管理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县农业农村局：加强畜禽屠宰质量安全管理，抽查畜禽屠宰经营者是否违法经营，对私屠滥宰行为依法进行处理。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县市场监督管理局：查处市场、餐饮环节销售或使用未经检疫肉类的行为。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县公安局：对涉嫌犯罪的私屠滥宰行为（如非法经营、危害食品安全罪）追究刑事责任。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配合相关部门开展巡查、线索摸排、违法现场保护等工作。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金融帮扶工作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1.积极推进金融帮扶工作，调查核实乡镇上报农户资格并审批备案；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2.积极对接金融机构，落实金融帮扶政策。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国家金融监管总局泾源分局：在业务范围内为乡村振兴提供信贷支持和其他金融服务。</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1.大力宣传金融帮扶政策，提高农户政策知晓率；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2.对需要金融帮扶的农户进行资格审核；</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3.配合做好入户核查、公开公示、资金发放、逾期贷款收缴等工作。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农机安全生产监管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依法履行农机安全生产监管职责，按照职责对存在重大事故隐患的农业机械经营单位和个人加强监督管理。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1.开展农机安全宣传；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2.统计辖区农机驾驶员、车辆数量、证照等基本情况，统计农机作业、农机事故、农机报废更新等基本信息；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3.配合开展农机检审验、农机安全联组规范化建设。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引导购买农业保险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县财政局：制定政策性农业保险实施方案，统筹落实农户购买农业保险，按照相关规定予以补贴。</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县农业农村局：指导乡镇开展农业保险购买情况摸底，统计农业保险购买情况，核实成灾面积和农作物受灾程度，对接保险公司予以赔付。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县林业和草原局：指导乡镇开展经果林农业保险购买情况摸底，统计经果林农业保险购买情况，核实成灾面积和经果林受灾程度，对接保险公司予以赔付。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1.多渠道宣传农业保险的重要性，动员群众积极购买；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2.发生灾情后，调查受灾面积和受灾程度并上报；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四、自然资源（14项）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古树名木的保护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1.对古树名木进行确定、登记、挂牌，发布古树名录；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2.组织专业技术力量对濒危古树名木开展抢救复壮；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1.协助开展古树名木保护宣传活动；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2.组织护林员开展日常巡查，发现攀树、折枝、剥损树皮等情况及时制止，情况严重的及时上报。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1.开展盗伐、滥伐林木日常巡查；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2.发现违法违规行为及时报告县林业和草原局进行处理。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对自然资源卫片监测发现违法行为的监管执法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县自然资源局、县林业和草原局：收到上级卫片图斑信息后，对卫片图斑进行对比甄别、实地查看、系统核实认定，判定是否违法，确定违法建设名单，连同相关资料移交相关执法机构依法查处。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配合自然资源部门和林业和草原局对卫片信息进行实地核查，协助相关执法部门对违法者下达限期整改通知书，对逾期未整改到位的配合做好执法工作。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县自然资源局：负责非农化问题整改。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县农业农村局：负责非粮化问题整改。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1.对耕地和基本农田图斑进行核实，确认违法行为；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2.按时将耕地和基本农田图斑反馈各乡镇，指导督促各乡镇对反馈图斑问题进行现场核实整改，核查上传图斑举证情况；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1.配合核实年度新增设施农用地图斑；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2.配合处置耕地违法占地、用地图斑；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3.配合排查违法违规破坏耕地问题；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4.配合核实年度变更调查耕地流出问题；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5.配合落实耕地保护督查反馈问题整改；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农户私自开垦、占用村集体土地等行为的监管执法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县自然资源局：负责对辖区内耕地利用情况开展摸底排查，对发现或接到举报的非法占用、破坏耕地的行为依法查处。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县林业和草原局：负责对非法破坏林地的行为依法查处。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县农业农村局：负责对非法占用村集体土地建住宅的行为依法进行查处。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1.做好土地政策宣传，开展巡查，发现土地违法问题及时上报；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对非法采砂的监督管理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负责辖区河道采砂的监管工作，对发现的非法采砂行为进行审查认定，并依法查处。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做好日常巡查，发现违法采砂行为及时上报，协助执法与调查取证，开展群众宣传教育。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森林、草原资源监管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2.通过林地草原巡查、各级林长报告、群众反映、护林员上报等方式，发现林草资源破坏、林地退化、草原荒漠化等情况，及时规划生态修复项目；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3.配合上级林业和草原部门做好林草湿资源检查检测；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4.主管本行政区域内草原监督管理工作；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5.根据上一级草原保护、建设、利用规划编制本行政区域的草原保护、建设、利用规划，报本级人民政府批准后实施。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2.发现林草资源破坏、林地退化、草原荒漠化等情况，上报县林业和草原局，及时规划生态修复项目；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3.做好护林员的管理；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林地（草原）、湿地征占用审核审批及监管工作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1.负责林地、湿地征占用、现场查勘、资料审核、审批，对项目实施占用情况进行监督管理；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2.加强日常监管，对发现或接到上报的未按照审核审批面积使用林地、湿地等问题及时进行核查处理。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1.对林地、湿地征占用现场查勘、补偿协商等，对项目实施占用情况进行巡查；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对禁牧期和禁牧区域放牧或者休牧期、轮牧区抢牧、滥牧的排查处置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default" w:ascii="Times New Roman" w:hAnsi="Times New Roman" w:eastAsia="方正公文仿宋" w:cs="Times New Roman"/>
                <w:snapToGrid w:val="0"/>
                <w:color w:val="auto"/>
                <w:kern w:val="0"/>
                <w:sz w:val="21"/>
                <w:szCs w:val="21"/>
                <w:lang w:val="en" w:eastAsia="zh-CN"/>
              </w:rPr>
            </w:pPr>
            <w:r>
              <w:rPr>
                <w:rFonts w:hint="eastAsia" w:ascii="Times New Roman" w:hAnsi="Times New Roman" w:eastAsia="方正公文仿宋" w:cs="Times New Roman"/>
                <w:color w:val="auto"/>
                <w:lang w:val="en-US" w:eastAsia="zh-CN"/>
              </w:rPr>
              <w:t>县</w:t>
            </w:r>
            <w:r>
              <w:rPr>
                <w:rFonts w:hint="default" w:ascii="Times New Roman" w:hAnsi="Times New Roman" w:eastAsia="方正公文仿宋" w:cs="Times New Roman"/>
                <w:color w:val="auto"/>
                <w:lang w:val="en" w:eastAsia="zh-CN"/>
              </w:rPr>
              <w:t>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1.负责本行政区域内禁牧、轮牧、休牧的监督管理工作；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2.划定禁牧区、轮牧区、休牧区；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3.建立巡查制度，对违规放牧行为进行查处；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4.对禁牧、轮牧、休牧区域林地、草地生态植被恢复情况进行动态监测和评估。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 xml:space="preserve">1.通过多种方式宣传禁牧、轮牧、休牧相关法律法规和政策；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2.加强对禁牧区域、休牧期、轮牧区的日常巡查，及时发现并制止抢牧、滥牧等违规行为。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撂荒耕地复垦</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1.负责做好组织动员、督促指导、进度调度、联络协调、核查验收等。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2.审核汇总撂荒耕地台账，总结评估撂荒耕地摸底情况；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3.负责制定撂荒耕地调查摸底工作方案，确定需要复耕复种地块，明确复耕要求，开展培训指导，指导乡镇开展撂荒耕地实地核查工作；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1.宣传撂荒耕地复垦政策；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2.配合全面摸清耕地撂荒底数，查清撂荒原因，建立排查台账并上报；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3.依据撂荒耕地复耕复种有关政策，鼓励有劳动能力的农户自行复耕，引导农户盘活撂荒土地资源，助力农业产业发展。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对木材加工行业的监管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负责查处违法违规经营行为，对非法经营（含加工）木材的行为进行处罚。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1.开展木材加工日常巡查；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w:t>
            </w:r>
            <w:r>
              <w:rPr>
                <w:rFonts w:hint="default" w:ascii="Times New Roman" w:hAnsi="Times New Roman" w:eastAsia="方正公文仿宋" w:cs="Times New Roman"/>
                <w:color w:val="auto"/>
                <w:lang w:val="en" w:eastAsia="zh-CN"/>
              </w:rPr>
              <w:t>林业和草原局</w:t>
            </w:r>
            <w:r>
              <w:rPr>
                <w:rFonts w:hint="eastAsia" w:ascii="Times New Roman" w:hAnsi="Times New Roman" w:eastAsia="方正公文仿宋" w:cs="Times New Roman"/>
                <w:color w:val="auto"/>
                <w:lang w:val="en-US" w:eastAsia="zh-CN"/>
              </w:rPr>
              <w:t>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落实耕地占补平衡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1.认真落实耕地占补平衡，科学储备补充耕地指标；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2.依据项目用地需求，审核是否符合耕地占补平衡要求，对需要落实耕地占补平衡的，对接乡镇落实指标，并督促落实项目占用耕地先补后占原则；</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对占用林地、草地卫片图斑核查处置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绿化带养护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开展背街小巷绿化带防灭火、病虫害防治、树木修剪、补植、绿地补水等工作。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1.开展常态化巡查；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五、生态环保（19项）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2.制定工业固体废物污染环境防治工作规划，组织建设工业固体废物集中处置等设施，推动工业固体废物污染环境防治工作；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1.配合生态环境分局对辖区涉危废、固废随意倾倒、处置行为进行全面排查；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2.配合生态环境分局对辖区内的危废、固废问题进行整改；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3.督促辖区存在危废、固废问题的企业按时完成整改。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河流流域水污染治理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固原市生态环境局泾源分局：对涉水企业实施环境执法，配合上级主管部门开展辖区内河流流域的水样监测。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县水务局：做好河流及排水沟管理和保护工作，对检查发现的违法违规行为依法进行查处，并督促整改落实。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1.对水环境保护相关政策进行宣传；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2.对辖区内河流流域开展日常巡查；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4.配合相关部门做好问题整治。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大气污染防治与重污染天气应急处置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1.负责组织编制重污染天气应急预案，建立重污染天气应急减排清单，组织指导工业企业编制重污染天气应急操作方案并审核把关；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2.组织工信、住建、自然资源、农业农村、市场监管、交通运输、公安等部门按照职责分工做好重污染天气应对工作；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3.负责发现重点排污单位的大气污染物排放自动监测设备传输数据异常，及时进行调查。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1.对预警期间辖区内工业企业等单位落实重污染天气应急响应措施情况进行排查，监督企业是否存在偷排现象；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2.做好烟尘、扬尘、煤尘管控，对辖区裸露土地洒水降尘，引导群众采用清洁取暖；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3.发现问题立即制止并及时上报；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4.配合调查处理大气污染环境违法行为。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环保设施运行监管执法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负责对排污者或污染治理运营单位的污染防治环保设施运行情况进行监督检查，对故意不正常使用或擅自拆除、闲置的依法查处。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对辖区内各类生态环境保护设施开展日常巡查并做好记录，对发现的环保设施运行管理问题按规定时限上报生态环境部门处理。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道路移动污染源监测和防控治理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局、县公安局：按照职责分工负责道路移动污染源排放的监测及防控治理工作，建立联合监管常态化机制，对道路移动源尾气进行抽检，对违法违规行为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1.做好政策宣传，对辖区内道路移动污染源开展巡查并做好记录；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2.对发现违法违规问题线索及时上报有关部门，配合做好联合治理相关工作。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扬尘综合治理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自然资源等部门：按照职责分工，负责工业企业、建筑工地、矿山、道路运输等行业领域扬尘日常监管和综合治理，监督相关行业领域相关单位落实扬尘防治措施，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统筹网格监管力量，对辖区内扬尘源头情况开展日常巡查，配合部门监督建筑工地、道路运输、矿山开采等相关单位落实扬尘防治措施，发现违法违规行为按规定时限上报有关部门，协助做好扬尘治理整改落实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VOCs污染深度治理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农业农村等部门：按照职责分工牵头开展摸底调查，持续推进化工行业、涂装行业、机动车、农业农村生活源VOCs治理，制定源头消减、过程控制、末端治理全过程防控计划与方案并组织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1.配合部门对辖区内重点区域、重点行业VOCs排放情况开展巡查并做好记录；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2.对发现的疑似问题和隐患线索，按规定时限上报有关部门处理。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突发环境污染事件应急处置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负责制定突发环境事件应急预案，明确组织指挥机制、信息报告、应急处置措施等内容，并在发生突发环境事件时立即启动应急响应。</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1.发现突发环境事件后，及时上报，并根据应急预案积极响应；</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2.做好突发环境污染事件的先期处置工作。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1.对规模养殖场畜禽粪污资源化利用开展检查和指导，对规模养殖场粪污处理设施运行情况进行日常监管；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2.组织养殖户和企业实施粪污处理和资源化利用项目，通过项目支持提高粪污处理水平和能力；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1.宣传粪污处理及资源化利用相关政策；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2.配合农业农村部门督促养殖户和企业实施粪污处理和资源化利用项目；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3.对粪污处理及台账记录情况进行检查；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4.对检查发现的问题及时上报。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对工业噪声、建筑施工噪声、社会生活、交通运输噪声污染的监管执法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固原市生态环境局泾源分局：建立协调机制，按照职责分工对工业噪声污染、建筑施工噪声污染、交通运输噪声污染、社会生活噪声污染的行为进行认定。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1.发现或收到群众举报噪音扰民问题及时劝告制止；</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2.经劝告制止无效的上报生态环境、公安等主管部门；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3.配合做好相关执法工作，开展群众走访、现场确认等。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做好水土保持相关工作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1.负责辖区内水土保持工作的监督检查、水土保持方案审批等行政执法工作；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2.开展水土流失综合治理工作；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3.配合税务部门催缴水土保持补偿费。</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1.加强水土保持宣传和教育工作，普及水土保持科学知识，增强公众的水土保持意识；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2.配合水务部门督促本辖区内实施的建设项目编制水土保持方案，对辖区内造成水土流失的行为进行监督；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3.协助完成本辖区内水土流失综合治理，推行“山水林田”统一规划、“梁峁沟坡塬”一体整治模式，实施沟道、山林等治理。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河道“四乱”问题整治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1.组织开展河流管理保护监督管理，不断完善河流保护综合执法体系建设，强化河长制监管能力和水平；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2.加大违法违规行为的打击力度，开展河流管理保护突出问题专项整治，严厉打击涉河违法行为，清理整治非法排污、设障、捕捞、养殖、采砂、采矿、围垦、侵占水域岸线等活动。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1.发现河道乱占、乱采、乱堆、乱建等问题及时上报；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2.协助水务部门开展涉河违法取证工作；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3.配合做好协调清退、拆除等工作。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1.对辖区内的河道进行定期不定期检查；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2.对存在河道四乱问题进行督查通报；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1.接受上级传达的违法图斑信息；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2.根据经纬度坐标实地考察；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3.与当事人联系对违法图斑进行整改，对拒不整改的报上级水务部门。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生态安全重点部位检查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1.加强对乡镇生态环保方面的指导、培训；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2.对乡镇上报的问题隐患、线索等情况及时核实，组织各相关主管部门进行查处，并督促整改落实。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1.宣传普及环境保护知识，提高企业和公众的环保意识；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2.对辖区内易产生污染的场所进行定期检查，确保环保设施正常运行；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3.对检查中发现的问题进行分类汇总，建立问题台账，并及时上报生态环境分局；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4.协助各部门开展调查和处理工作。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对生活污水、化粪池安全检查及违法行为的整治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固原市生态环境局泾源分局：负责环保监管和水质监测。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县城乡建设和交通运输局：督促物管小区的物业企业对小区化粪池安全问题开展巡查，发现问题及时处置。</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协助对生活污水、化粪池开展安全巡查检查。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生态公益林管护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1.设置管护标识，限制人员和牲畜随意进入，减少人为干扰和破坏；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2.安排专人定期巡护，及时发现并处理火灾隐患、盗伐、病虫害等问题，同时对森林资源状况进行监测；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3.对林分稀疏或受损区域进行合理的补植，增加森林覆盖率和生态功能；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4.适时进行抚育间伐、修枝整形等，促进林木生长，提高林分质量；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5.开展相关科研项目，探索更好的管护方法和技术，同时加强公众的生态教育，增强保护意识；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6.定期对生态公益林资源进行调查统计，建立完善档案资料，为科学管理提供依据；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7.加强与相关执法部门合作，严厉打击破坏生态公益林的违法违规行为。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配合对辖区内公益林进行日常巡护，发现违法违规行为及时制止并上报。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“散乱污”企业治理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1.落实长效监管机制，持续开展“回头看”，巩固“散乱污”企业清零成效，坚决杜绝“散乱污”企业死灰复燃，确保“散乱污”企业整治动态清零；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2.持续开展辖区内“散乱污”企业排查工作，在摸排中发现的新增“散乱污”企业，严格按照整治标准开展治理工作。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1.查处企业超标排放、偷排漏排、未批先建等环境违法行为；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2.对不符合环保要求的企业责令整改或关停；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3.监督企业落实污染治理设施升级改造。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1.配合相关部门对辖区“散乱污”企业进行排查；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2.配合相关部门对辖区内“散乱污”企业问题进行整改。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噪音污染综合整治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固原市生态环境局泾源分局：对群众反映的噪音扰民问题进行督导整改，对违法行为依法进行立案查处。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在城区噪声敏感建筑物集中区域内使用高音广播喇叭或者违反当地公安机关的规定，在城区街道、广场、公园等公共场所组织娱乐、集会等活动，使用音响器材，产生干扰周围生活环境的过大音量的由公安机关进行立案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对违法行为人进行批评教育、责令限期改正，对拒不整改的及时向上级部门报告。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餐饮服务业环境污染防治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1.负责本辖区的餐饮服务业环境污染防治监督管理；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2.对污染源及生态环境污染行为进行执法监督管理；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3.对违法行为监督管理，发现违法行为予以查处。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1.开展餐饮服务业环境污染防治相关政策宣传；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2.督促餐饮企业复装、使用、维护油烟净优设备；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3.对拒不整改的经营单位上报主管部门。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六、城乡建设（20项）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1.牵头负责燃气领域安全生产监督管理，统筹各行业部门开展各自行业领域燃气安全隐患排查整治工作，对各类燃气安全隐患和违法行为进行查处；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2.督促燃气经营企业落实燃气设施定期巡检维护、入户安检等安全生产职责；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3.依法查处未取得燃气经营许可证从事生产经营活动的行为，落实燃气安全设施定期检查制度。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1.负责燃气充装、检验检测机构的监督管理，监督燃气充装单位对气瓶进行定期检验和报废处理；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2.负责城镇燃气领域特种设备安全监管；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3.负责生产、销售环节燃气燃烧器具和燃气相关产品质量监管，依法查处制售假冒伪劣产品的违法行为；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4.依法处理操纵燃气市场价格、垄断、不正当竞争等扰乱市场秩序的行为。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县应急管理局：依法对液化石油气、液化天然气生产企业实施安全监管，对不具备安全生产条件的生产企业依法查处。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1.协调村民委员会配合燃气经营企业进行入户安全检查；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1.负责指导农房建设管理，负责农房（抗震房）设计图集编制推广、指导建设质量安全管理、指导隐患排查整治、开展乡村建设工匠管理等工作；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1.负责辖区内农房规划建设使用管理工作，包括乡村建设规划许可、宅基地审批、建设工程监管、使用过程管控、违法违规行为核查上报处置以及安全隐患排查整治和房屋安全宣传等工作；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2.组织开展农村危房改造、农房抗震改造的排查上报、申请公示、资料审核、系统录入等工作；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3.指导所辖村（社区）将农房建设行为规范纳入村规民约，做好农房建设质量安全管理工作。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2.制定和完善应急预案，落实应急值班值守，优化应急抢险救灾力量布局。在汛期，需要保障重点物资运输畅通有序，及时有效应对突发事件。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1.对重大风险点排查，对确定的风险点建立风险台账；</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2.监视雨情、汛情发展变化趋势，按要求及时发布公路预警信息；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3.协助相关部门做好“小雨关注、中雨巡查、大雨值守、暴雨管控”、积水处置等工作。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1.提供政策依据；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2.对河道、水源、堤坝、水库等涉水设施的建设、维护；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3.提供必要的物资保障。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2.开展日常巡查巡护；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4.对能力范围内的隐患进行化解。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60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农村饮水安全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1.针对人饮工程情况制定可行性供水方案；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2.实施农村饮水安全巩固提升工程，更换改造铺设管道、新建阀井、管道穿渠等；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3.进行人饮工程施工及运行管理；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4.监督水站规范运行。</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1.开展农村饮用水情况调查；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2.配合第三方统计自来水存在问题并按照要求完成整改；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3.宣传冬季自来水防冻工作；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61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征地拆迁</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1.开展土地现状调查，拟定征地补偿安置方案；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2.征求被征收土地所有权人的意见；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3.发布土地征收公告；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4.对拟征收土地开展勘测定界；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5.组织土地使用权人与相关部门签订征地补偿协议；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6.按时发放土地征收补偿款。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1.协助相关部门开展土地现状调查、公告、听取被征收土地使用权人意见；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62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房屋征收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1.开展房屋现状调查，拟定房屋征收补偿安置方案；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2.征求被征收房屋所有权人的意见；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3.发布房屋征收公告；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4.对拟征收房屋开展测绘定位；</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5.组织房屋所有权人与相关部门签订房屋征收补偿协议；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6.按时发放房屋征收补偿款。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1.协助相关部门开展房屋现状调查、公告、听取被征收房屋所有权人意见；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2.调解房屋征收过程中出现的矛盾和问题。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63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自建房安全检查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1.加强自建房监管，牵头组织开展专项整治工作，排查自建房结构安全问题；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2.建设城镇房屋、农村房屋综合管理信息平台，推进信息共享，建立健全全链条监管机制；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3.做好危旧房屋整治工作。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1.组织各村（社区）对全乡镇房屋进行初步排查，对可见的裂缝等问题隐患进行梳理，并建立台账；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2.对排查中发现的疑似危房，采取初步管控措施；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4.配合住建部门做好房屋等级鉴定；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5.根据住建部门反馈的专业鉴定报告，建立完善隐患台账；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64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农村公路的养护监管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1.负责农村公路新改建及大修养护工程；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2.负责县道的养护工作，具体包括：道路巡查、路面及桥面保洁、路肩边坡水毁处置及蒿草修剪，行道树、桥梁、涵洞、交安设施刷新刷白等工作；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3.负责县道管理工作，具体包括：乡村道路及其沿线设施的管护，制止各种侵占、损坏公路、公路用地、公路附属设施的违法行为；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1.做好辖区乡道日常巡查，对发现的隐患问题及时上报；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1.对本辖区建筑施工领域进行安全检查；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县教育体育局：牵头制定划转方案，审核闲置校舍的权属、面积、用途等基础信息。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县自然资源局：核实土地性质，指导土地用途合规性。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1.现场查看闲置校舍、校田；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2.上报查看信息。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对建设单位和个人未经批准进行临时建设、未按照批准内容进行临时建设、临时建筑物、构筑物超过批准权限不拆除的处置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县城乡建设和交通运输局：对住宅小区内建设单位和个人未经批准进行临时建设等行为进行认定，确认违法行为，按照法律程序进行行政处罚。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县自然资源局：对建设单位和个人未经批准进行临时建设等行为进行认定，确认违法行为，对违法行为立案查处或将线索移交赋权的执法部门查处。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1.进行日常巡查；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2.对巡查发现或群众举报的线索进行汇集并及时上报；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3.配合相关单位对违法问题进行处置。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闲置宅基地盘活利用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县农业农村局：负责农村宅基地改革和管理工作，建立健全宅基地分配、使用、流转、违法用地查处等管理制度，指导宅基地合理布局，闲置宅基地闲置农房利用，备案登记农村宅基地使用权流转。</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县自然资源局：负责在国土空间规划中统筹安排宅基地用地规模和布局，依法办理农用地转用审批和规划许可等相关手续。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1.摸排闲置宅基地和闲置农房信息；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“门前三包”责任制落实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1.加强对商户的宣传，引导沿街商户自觉遵守“门前三包”管理规定，强化商家主体责任意识；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2.对商户落实“门前三包”责任制度进行不定期抽查，发现存在乱堆乱放、乱张贴、占道经营等市容问题及时通报给乡镇，督促商户立即整改；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3.违法情形上报。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高空作业隐患整治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县城乡建设和交通运输局：负责建筑、交通运输、市政管理、园林绿化领域高空作业隐患整治。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县应急管理局：负责危险化学品领域及工贸领域高空作业隐患整治。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县发展改革和科学技术局：负责电力行业隐患整治。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县工业信息化和商务局：负责通信行业、商贸服务行业隐患整治。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经营场所存在“双气源”的排查整治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对经营场所存在“双气源”的进行摸排上报。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“黑气瓶”“双嘴瓶”排查整治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查处“黑气瓶”贩子等液化气行业违法违规行为，禁止使用、回收50公斤液化石油气“双嘴瓶”“黑气瓶”。</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摸排辖区液化气使用情况，发现“黑气瓶”“双嘴瓶”后及时上报。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1.全面推进“四好农村路”高质量发展，负责县级农村公路建设和管理，拟定全县农村公路发展中长期规划、计划并组织实施；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负责本辖区内农村公路的管理、养护及路域环境治理。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老旧小区提升改造</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1.制定完善辖区老旧小区改造总体计划和年度计划，负责项目申报及资金争取；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2.统筹实施辖区老旧小区改造工作，指导、监督辖区街道、社区居委会开展老旧小区基本情况的摸底调查工作，合理落实专营单位、居民等社会投资；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3.落实可行性研究报告、初步设计等前期准备工作，加强工作过程中的质量和安全管理，做好街道老旧小区项目竣工验收和绩效考核等工作。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1.全面摸排辖区内老旧小区底数，入户调查了解居民改造意愿，每年按照老旧小区申报要求核实上报改造台账；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2.积极宣传老旧小区改造政策，动员、引导群众出资参与老旧小区改造；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3.协调解决项目施工阶段群众反映问题，做好矛盾纠纷化解工作；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4.引导居民协商确定改造后小区的管理模式、管理规约及业主议事规则；</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5.结合改造工作建立健全基层党组织领导，社区居民委员会配合，业主委员会、物业服务企业等参与的联席会议机制。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七、文化和旅游（1项）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1.负责旅游业的指导、协调、管理、服务和监督工作；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2.对旅游资源进行普查、评估、登记、建立旅游资源信息库；</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3.会同有关部门负责指导、协调、监督旅游资源的保护、开发和利用；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4.保障旅游用地，完善旅游宣传推广体系，发展旅游项目，推动旅游产业发展与新型工业化、信息化、城镇化和农业现代化相结合，推动观光、休闲、度假旅游协同发展；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5.制定旅游突发事件应急预案，加强旅游安全监管。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1.对农家乐等提供餐饮服务的场所，要求取得食品经营许可证，落实食品安全管理制度；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2.景区内涉及特种设备（如索道、游乐设施）的，需符合安全技术规范并定期检验。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县应急管理局：要求旅游场所和农家乐制定安全生产事故应急预案，并定期组织演练。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1.负责协助旅游资源开发保护，协助编制、评估和落实旅游发展有关规划；</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3.协助保障落实旅游用地，积极开发旅游业态、旅游项目；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4.负责做好相关安全生产应急预案工作和旅游市场安全生产与管理工作。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八、卫生健康（2项）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病死动物无害化处理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负责本行政区域病死畜禽和病害畜禽产品无害化处理的监督管理工作；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对江河、湖泊、水库等水域发现的死亡畜禽组织收集、处理并溯源。</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做好辖区病死动物无害化处理宣传、信息报送工作；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对辖区内发现的死亡畜禽进行组织收集、处理并溯源。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新生儿在医疗卫生机构以外地点死亡的核查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对乡镇上报信息进行核查；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将核实结果上报上级部门。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发现新生儿在医疗卫生机构以外地点死亡的，及时上报相关信息。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八、自然资源（15项）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森林草原火灾隐患排查和火灾扑救</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景区管理机构</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部门：按照职责分工负责县域内森林草原火灾预防，开展防火巡护、火源管理、日常检查、宣传教育、防火设施建设和火情早期处理等工作，发现问题下达森林草原火灾隐患整改通知书，责令限期整改、消除隐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县应急管理部门：按照分级负责原则，指导森林草原火灾处置工作。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国有林场、景区管理机构：负责本辖区森林草原防火的宣传教育，组建队伍进行林场巡查，加强火种、火源的管理，定期进行巡查及隐患排查，发现或接到群众报告火情后，立即组织扑救并上报。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1.负责辖区林草防火的宣传教育，组织参加防灭火知识培训；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2.对辖区森林草原防火区进行巡查，发现或接到群众举报火灾隐患及时消除，出现火情第一时间上报有关部门；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3.在火势较小、保证安全的前提下，先行组织进行初期扑救。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应急广播系统（平台）建设和管理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县文化旅游广电局：负责对应急广播系统建设检查考核、项目验收、施工建设等工作进行督导检查。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1.负责应急广播系统建设技术方案的制定；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2.负责应急广播系统建设项目的工程招标、组织实施、调度督导、检查考核、项目验收工作及应急广播管理平台日常运行和维护。</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1.负责做好本乡镇、辖区各行政村、社区专用机房配备及设备安装工作，并安排专人负责应急广播设备日常管理工作等事宜；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2.负责应急广播系统项目建设中涉及到的布设杆路的协调工作。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电动车安全监督管理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开展电动自行车违规停放、违规充电专项整治行动，明确整治内容、整治范围，提供技术支持，对违法违规行为进行查处。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1.宣传电动车安全知识；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2.指导发挥网格员作用，对建筑管理单位或者物业服务企业、业主委员会、村（居）民委员会发现上报的违法违规行为进行劝阻、制止，责令改正，制止未果的及时上报主管部门；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3.配合开展电动自行车违规停放、违规充电专项整治。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地质灾害防治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1.负责组织、协调、指导和监督地质灾害防治工作；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2.会同住建和交通、水务等部门依据地质灾害防治规划，拟定年度地质灾害防治方案；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3.结合地质环境状况组织开展地质灾害调查；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4.会同气象部门发布地质灾害预报；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5.及时划定地质灾害危险区并公告，设置明显警示标志；</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6.会同住建和交通、水务部门拟定地质灾害应急预案。</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1.组织开展地质灾害防治工作，对划定的地质灾害区开展日常实地巡回检查，发现疑似新增地质灾害隐患点及时上报；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2.组织做好紧急情况下的临灾避险工作，发现地质灾害灾（险）情前兆时，及时采取防范措施，并向上级人民政府和自然资源部门报告；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3.开展防灾减灾知识的宣传工作，对地质灾害隐患点组织开展应急避险演练；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1.组织协调开放行业部门管理的应急避难场所；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2.及时协调调度应急物资保障临时安置群众生活所需；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3.按规定做好符合条件的特殊困难群众救济救助工作。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1.根据乡镇上报的房屋安全排查情况，组织第三方检测机构开展鉴定，并将鉴定结果及时反馈相关部门和乡镇；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县市场监督管理局：根据房屋鉴定结果，对鉴定为C、D级房屋的营业场所协助住建部门进行临时关停。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县民政和退役军人事务局：对经灾害救助过渡期满三个月后，基本生活仍困难的群众给予救助。</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1.开放本级及村级应急避难场所，启用应急设施设备，安置和管理受灾群众，管理救灾物资；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2.根据上级部门反馈的房屋鉴定结果，对鉴定为C级房屋且具备条件的，动员群众进行加固，对鉴定为D级房屋的劝导群众搬离；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3.配合上级住建、市场监管部门做好政策宣传和群众思想工作；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4.配合做好危房加固、临时住房保障性住房政策落实以及困难群众的救济救助工作。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对占用、堵塞、封闭疏散通道、安全出口或者有其他妨碍安全疏散行为的排查处置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各类场所进行消防监督检查，依法查处占用、堵塞、封闭疏散通道、安全出口等消防违法行为；对可能严重威胁公共安全的危险部位或者场所予以临时查封；指导单位和乡镇开展消防安全宣传教育和培训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县应急管理局：综合协调各部门开展相关排查整治工作，督促各部门落实安全监管责任；对生产经营单位存在的妨碍安全疏散等违法行为进行查处，对重大安全隐患进行挂牌督办。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建设工程的疏散通道、安全出口等消防设计进行审查和验收，确保新建、改建、扩建工程符合消防安全要求；指导和监督物业服务企业做好物业管理区域内的消防安全管理工作，督促物业服务企业对疏散通道、安全出口进行日常巡查和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县工业信息化和商务局：对商场、餐饮、住宿等商贸服务业进行监督检查，督促经营者保持疏散通道、安全出口畅通。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县市场监督管理局：依法查处销售不合格消防产品的行为，配合相关部门开展消防安全专项整治。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县公安局：公安派出所对辖区内的“九小场所”等进行消防监督检查，查处占用、堵塞、封闭疏散通道、安全出口等违法行为；配合消防救援部门开展灭火救援和应急处置工作，维护现场秩序。</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1.向社会广泛宣传消防安全知识，引导群众共同维护疏散通道、安全出口畅通</w:t>
            </w:r>
            <w:r>
              <w:rPr>
                <w:rFonts w:ascii="Times New Roman" w:hAnsi="Times New Roman" w:eastAsia="方正公文仿宋" w:cs="Times New Roman"/>
                <w:color w:val="auto"/>
                <w:lang w:eastAsia="zh-CN"/>
              </w:rPr>
              <w:t>；</w:t>
            </w:r>
            <w:r>
              <w:rPr>
                <w:rFonts w:hint="eastAsia" w:ascii="Times New Roman" w:hAnsi="Times New Roman" w:eastAsia="方正公文仿宋" w:cs="Times New Roman"/>
                <w:color w:val="auto"/>
                <w:lang w:val="en-US" w:eastAsia="zh-CN"/>
              </w:rPr>
              <w:t xml:space="preserve">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2.对公共场所开展消防隐患排查，及时制止违法行为发生，并向执法部门通报</w:t>
            </w:r>
            <w:r>
              <w:rPr>
                <w:rFonts w:ascii="Times New Roman" w:hAnsi="Times New Roman" w:eastAsia="方正公文仿宋" w:cs="Times New Roman"/>
                <w:color w:val="auto"/>
                <w:lang w:eastAsia="zh-CN"/>
              </w:rPr>
              <w:t>；</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3.对排查出的隐患问题，协助县级部门督促整改，对难以整改的问题及时上报。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对占用、堵塞、封闭消防车通道、妨碍消防车通行的排查处置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县消防救援大队：开展消防监督检查，责令改正占用等违法行为；对拒不改正的，强制清理障碍物，并视情节轻重给予处罚。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县城乡建设和交通运输局：监督建设单位按标准设置消防车通道；督促物业服务企业履行消防车通道管理维护责任。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1.对消防车通道开展日常排查；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3.协助县级部门督促整改违法行为；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4.及时向县级部门反馈排查整治情况。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对人员密集场所在门窗上设置影响疏散逃生和灭火救援的障碍物的排查处置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县消防救援大队：负责对人员密集场所进行消防监督检查，依法查处门窗设置障碍物的违法行为；对存在的问题责令限期改正，拒不改正的给予行政处罚；指导单位开展消防演练。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县城乡建设和交通运输局：在建设工程消防设计审查验收中，严格把关人员密集场所门窗设计是否符合疏散逃生和灭火救援要求；督促物业服务企业对管理区域内人员密集场所的相关情况进行巡查和报告。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县应急管理局：综合协调各部门开展隐患排查整治工作。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1.配合执法部门组织执法人员、网格员等对人员密集场所进行排查；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2.向人员密集场所经营者和从业人员宣传相关法律法规和消防安全知识；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3.对排查出的问题，协助县级执法部门做好整改工作，上报整改情况。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对在高层民用建筑的公共门厅、疏散走道、楼梯间、安全出口停放电动自行车或者为电动自行车充电，拒不改正的排查处置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县消防救援大队：负责对高层民用建筑进行消防监督检查，依法查处违规停放、充电行为；责令存在问题的单位和个人限期改正，对拒不改正的实施行政处罚；对因违规行为引发火灾事故的，进行火灾事故调查。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业服务企业履行消防安全管理职责，对电动自行车违规停放、充电行为进行巡查和劝阻；在建设工程消防设计审查验收中，严格把关相关设施的设计和建设是否符合消防安全要求。</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2.对高层民用建筑进行日常监督检查，及时发现违规行为并记录；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3.对发现的违规行为，督促当事人立即整改，拒不改正的及时上报执法部门。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对商贸流通领域开展安全生产检查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县工业信息化和商务局：按照职责指导、督促商场、餐饮、住宿等商贸服务业（不含“九小”场所）的安全生产管理工作，协调、配合相关部门开展商贸流通领域安全隐患排查整治等工作。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小型商场、超市（供销系统除外）、小型餐饮住宿场所（星级酒店除外），以及村（社区）组织建设或产权所有的各类商贸流通领域生产经营单位（含集贸市场、农村集市）进行日常安全隐患排查整治，发现安全生产隐患和违法行为应及时制止、限期整改，并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“九小”场所安全监管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县市场监督管理局等负有安全生产监管职责相关部门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县消防救援大队、县应急管理局、县公安局、县城乡建设和交通运输局、县工业信息化和商务局、县市场监督管理局等相关部门按照职责分工负责：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1.建立县乡联动执法工作机制，制定年度综合检查工作计划并组织实施；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2.对检查中发现的安全生产违法行为，当场予以纠正或者要求限期改正；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3.对依法应当给予行政处罚的行为，依照有关法律法规的规定作出行政处罚决定。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1.落实乡镇吹哨、部门报到工作机制，组织协调辖区执法力量及网格员队伍对辖区“九小”场所开展安全隐患排查，实施“综合查一次”；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2.对排查出的问题建立台账并将有关情况上报，督促相关单位及时整改；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县发展改革和科学技术局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开展冬季安全取暖宣传工作，摸排辖区内使用煤烟取暖的住户，配合有关部门对安全隐患进行排查整改。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县应急管理局：负责冶金、有色建材、机械、轻工、纺织、烟草等工贸企业安全监管，对安全生产隐患和违法行为进行查处。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县工业信息化和商务局：负责工贸企业、小生产加工企业、小作坊等生产经营单位安全生产的监督管理，对安全生产隐患和违法行为进行查处。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县市场监督管理局：负责工贸企业、小生产加工企业、小作坊等生产经营单位证照、特种设备的监督管理，对食品安全隐患、产品质量安全隐患和违法行为进行查处。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县城乡建设和交通运输局：配合工业信息化和商务部门对工贸企业、小生产加工企业、小作坊等生产经营单位建筑安全、消防验收备案的监督管理，对安全隐患和违法行为进行查处。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1.对本辖区工贸企业、小生产加工企业、小作坊等生产经营单位安全防护措施进行安全检查；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3.对拒不整改、存在重大安全隐患等情形及时上报有关责任单位。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对辖区大型群众性活动和重要时期的安全监管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县公安局：审批承办者递交的大型群众性活动申请；做好大型群众性活动的安全管理。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县应急管理局：监督活动承办方落实安全生产主体责任，检查应急预案和演练情况；指导协调活动中的应急救援工作。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县消防救援大队：对活动场所的消防设施、电气线路、疏散通道等进行安全检查；活动期间派驻消防车辆和人员备勤。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县文化旅游广电局：对营业性演出、旅游节庆活动等涉及文化领域的活动进行行业安全指导。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1.做好本辖区举办的大型群众性活动和重要时期的安全隐患排查，对具备处置能力的及时制止，责令限期整改，对拒不整改、存在重大安全隐患等情形及时上报；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2.做好辖区内重点人群管控等社会面稳控工作；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3.组织人员维护活动秩序，在指定区域内做好安保值守工作；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4.按照活动预案安排，及时做好突发事件应对处置。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烟花爆竹的安全监管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县应急管理局：负责本辖区内烟花爆竹经营、储存的安全监督管理工作。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县市场监督管理局：负责烟花爆竹的质量监督管理。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开展日常巡查，发现烟花爆竹违法违规生产经营行为及时制止并上报。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九、市场监管（4项）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93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县市场监督管理局：负责对食品生产经营活动实施监督管理。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县卫生健康局、县农业农村局、县工业信息化和商务局、县城乡建设和交通运输局、固原市生态环境局泾源分局等部门：依照各自的工作职责，做好食品安全监督管理工作。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1.加强食品安全宣传教育，普及食品安全知识，倡导健康的饮食方式，登记备案农村集体聚餐并上报，增强消费者食品安全意识和自我保护能力；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2.配合开展辖区食品、食用农产品安全监督检查。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食品安全分级包抓管理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组织实施食品安全风险防控、隐患排查和专项治理。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1.协助行业主管部门对包保食品生产经营主体进行督导；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2.建立台账资料。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1.对集体聚餐食品安全工作进行业务指导，加强对加工制作人员的食品安全知识培训；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2.加强监督检查，重点对农村集体聚餐食品食材进行检查，提醒消费者和食品经营者隔离储存非食用原料及危险化学品与食品；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3.接到食品安全事故的报告后，立即会同卫生、农业以及属地乡镇进行调查处理，开展应急救援工作。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1.指导医疗机构做好食品安全事故的医疗救治、流行病学调查和卫生学处置；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1.负责农村集体聚餐信息收集、登记备案、情况上报；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2.按要求进行现场指导；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3.负责农村食品安全协管员以及农村集体聚餐厨师的建档、管理等工作；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4.协助处置食品安全突发事件。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对商铺和流动摊点占道经营、无照无证经营行为的监管执法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县城乡建设和交通运输局：负责商铺和流动摊点占道经营的监督管理，负责职责范围内许可事项的监督管理。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县市场监督管理局：负责查处商铺的无照经营及市场监管部门职责范围许可事项的监督管理。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县公安局：负责查处治安方面及涉及公安职责范围内许可事项的监督管理。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县卫生健康局：负责职责范围内许可事项的监督管理和查处违法违规行为。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对辖区内商铺和流动摊点占道经营情况进行日常巡查，发现不法经营行为信息及时报告有关部门处理。</w:t>
            </w:r>
          </w:p>
        </w:tc>
      </w:tr>
    </w:tbl>
    <w:p>
      <w:pPr>
        <w:rPr>
          <w:rFonts w:ascii="Times New Roman" w:hAnsi="Times New Roman" w:eastAsia="等线" w:cs="Times New Roman"/>
          <w:lang w:eastAsia="zh-CN"/>
        </w:rPr>
      </w:pPr>
    </w:p>
    <w:p>
      <w:pPr>
        <w:pStyle w:val="2"/>
        <w:rPr>
          <w:rFonts w:ascii="Times New Roman" w:hAnsi="Times New Roman" w:eastAsia="等线" w:cs="Times New Roman"/>
          <w:lang w:eastAsia="zh-CN"/>
        </w:rPr>
      </w:pPr>
    </w:p>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pPr>
      <w:r>
        <w:rPr>
          <w:rFonts w:hint="eastAsia" w:ascii="Times New Roman" w:hAnsi="Times New Roman" w:eastAsia="方正公文小标宋" w:cs="Times New Roman"/>
          <w:b w:val="0"/>
          <w:lang w:eastAsia="zh-CN"/>
        </w:rPr>
        <w:t>上级部门收回事项清单</w:t>
      </w:r>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6"/>
        <w:gridCol w:w="4990"/>
        <w:gridCol w:w="8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blHeader/>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序号</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黑体" w:cs="Times New Roman"/>
                <w:lang w:eastAsia="zh-CN"/>
              </w:rPr>
            </w:pPr>
            <w:r>
              <w:rPr>
                <w:rStyle w:val="20"/>
                <w:rFonts w:ascii="Times New Roman" w:hAnsi="Times New Roman" w:eastAsia="方正公文黑体" w:cs="Times New Roman"/>
                <w:color w:val="auto"/>
                <w:lang w:eastAsia="zh-CN"/>
              </w:rPr>
              <w:t>一</w:t>
            </w:r>
            <w:r>
              <w:rPr>
                <w:rStyle w:val="20"/>
                <w:rFonts w:ascii="Times New Roman" w:hAnsi="Times New Roman" w:eastAsia="方正公文黑体" w:cs="Times New Roman"/>
                <w:b w:val="0"/>
                <w:bCs w:val="0"/>
                <w:color w:val="auto"/>
                <w:lang w:eastAsia="zh-CN"/>
              </w:rPr>
              <w:t>、平安法治（</w:t>
            </w:r>
            <w:r>
              <w:rPr>
                <w:rStyle w:val="20"/>
                <w:rFonts w:ascii="Times New Roman" w:hAnsi="Times New Roman" w:eastAsia="方正公文黑体" w:cs="Times New Roman"/>
                <w:b w:val="0"/>
                <w:bCs w:val="0"/>
                <w:color w:val="auto"/>
                <w:lang w:val="en-US" w:eastAsia="zh-CN"/>
              </w:rPr>
              <w:t>1</w:t>
            </w:r>
            <w:r>
              <w:rPr>
                <w:rStyle w:val="20"/>
                <w:rFonts w:ascii="Times New Roman" w:hAnsi="Times New Roman" w:eastAsia="方正公文黑体" w:cs="Times New Roman"/>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县城乡建设和交通运输局：按照工作要求，开展摩托车、人力三轮车、残疾人机动轮椅及装配动力装置的无牌无证车辆管理整治工作。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二、乡村振兴（</w:t>
            </w:r>
            <w:r>
              <w:rPr>
                <w:rStyle w:val="20"/>
                <w:rFonts w:ascii="Times New Roman" w:hAnsi="Times New Roman" w:eastAsia="方正公文黑体" w:cs="Times New Roman"/>
                <w:b w:val="0"/>
                <w:bCs w:val="0"/>
                <w:color w:val="auto"/>
                <w:lang w:val="en-US" w:eastAsia="zh-CN"/>
              </w:rPr>
              <w:t>2项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铁杆庄稼保、乡村振兴“健康保”、“百姓保”、惠民保等保险收缴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县人力资源和社会保障局、县农业农村局：分别负责铁杆庄稼保、乡村振兴“健康保”、“百姓保”等保险政策宣传。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“富民贷”推广工作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县农业农村局：按照工作要求，负责做好“富民贷”推广工作。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三、社会管理（</w:t>
            </w:r>
            <w:r>
              <w:rPr>
                <w:rStyle w:val="20"/>
                <w:rFonts w:ascii="Times New Roman" w:hAnsi="Times New Roman" w:eastAsia="方正公文黑体" w:cs="Times New Roman"/>
                <w:b w:val="0"/>
                <w:bCs w:val="0"/>
                <w:color w:val="auto"/>
                <w:lang w:val="en-US" w:eastAsia="zh-CN"/>
              </w:rPr>
              <w:t>7项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就业帮扶培训</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县人力资源和社会保障局：负责组织开展就业帮扶培训。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县人力资源和社会保障局：负责劳动力转移就业情况录入和维护及跟踪服务。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单位招用人员就业登记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县人力资源和社会保障局：负责办理单位招用人员就业登记及相关事宜。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工伤认定调查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县人力资源和社会保障局：负责工伤认定调查。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社会抚养费征收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城乡供水水费收缴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w:t>
            </w:r>
            <w:r>
              <w:rPr>
                <w:rFonts w:hint="default" w:ascii="Times New Roman" w:hAnsi="Times New Roman" w:eastAsia="方正公文仿宋" w:cs="Times New Roman"/>
                <w:i w:val="0"/>
                <w:snapToGrid w:val="0"/>
                <w:color w:val="000000"/>
                <w:kern w:val="0"/>
                <w:sz w:val="21"/>
                <w:szCs w:val="21"/>
                <w:u w:val="none"/>
                <w:lang w:val="en-US" w:eastAsia="zh-CN" w:bidi="ar"/>
              </w:rPr>
              <w:t>县水务局：负责委托第三方水投公司组织收缴</w:t>
            </w:r>
            <w:r>
              <w:rPr>
                <w:rFonts w:hint="eastAsia" w:ascii="Times New Roman" w:hAnsi="Times New Roman" w:eastAsia="方正公文仿宋" w:cs="Times New Roman"/>
                <w:i w:val="0"/>
                <w:snapToGrid w:val="0"/>
                <w:color w:val="000000"/>
                <w:kern w:val="0"/>
                <w:sz w:val="21"/>
                <w:szCs w:val="21"/>
                <w:u w:val="none"/>
                <w:lang w:val="en-US" w:eastAsia="zh-CN" w:bidi="ar"/>
              </w:rPr>
              <w:t>水费</w:t>
            </w:r>
            <w:r>
              <w:rPr>
                <w:rFonts w:hint="default" w:ascii="Times New Roman" w:hAnsi="Times New Roman" w:eastAsia="方正公文仿宋" w:cs="Times New Roman"/>
                <w:i w:val="0"/>
                <w:snapToGrid w:val="0"/>
                <w:color w:val="000000"/>
                <w:kern w:val="0"/>
                <w:sz w:val="21"/>
                <w:szCs w:val="21"/>
                <w:u w:val="none"/>
                <w:lang w:val="en-US" w:eastAsia="zh-CN" w:bidi="ar"/>
              </w:rPr>
              <w:t>；收缴资金纳入财政专户管理。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保障农民工工资支付</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保障农民工工资支付工作的组织协调、管理指导和农民工工资支付情况的监督检查，查处有关拖欠农民工工资案件，督促各工程建设主管部门履行行业监管责任，督办因违法发包、转包、违法分包、挂靠、拖欠工程款等导致的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四、社会保障（</w:t>
            </w:r>
            <w:r>
              <w:rPr>
                <w:rStyle w:val="20"/>
                <w:rFonts w:ascii="Times New Roman" w:hAnsi="Times New Roman" w:eastAsia="方正公文黑体" w:cs="Times New Roman"/>
                <w:b w:val="0"/>
                <w:bCs w:val="0"/>
                <w:color w:val="auto"/>
                <w:lang w:val="en-US" w:eastAsia="zh-CN"/>
              </w:rPr>
              <w:t>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县人力资源和社会保障局：负责城乡居民基本医疗保险已缴费人员统计。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对擅自新建殡葬设施的处罚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县民政和退役军人事务局：负责对未经批准擅自兴建殡葬设施行为的监督管理，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对采取虚报、隐瞒、伪造等手段，骗取享受城乡居民最低生活保障待遇等情形的处罚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县民政和退役军人事务局：负责对采取虚报、隐瞒、伪造等手段，骗取享受城乡居民最低生活保障待遇等情形监督管理，发现上述行为依法予以查处。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每季度统计全乡新婚人数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县民政和退役军人事务局：负责新婚人数统计。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对特困人员生活自理能力评估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县民政和退役军人事务局：对特困人员生活自理能力进行评估。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对违规领取各类社会救助资金的追缴工作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县民政和退役军人事务局：负责对违规领取各类社会救助资金的追缴工作。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五、自然资源（</w:t>
            </w:r>
            <w:r>
              <w:rPr>
                <w:rStyle w:val="20"/>
                <w:rFonts w:ascii="Times New Roman" w:hAnsi="Times New Roman" w:eastAsia="方正公文黑体" w:cs="Times New Roman"/>
                <w:b w:val="0"/>
                <w:bCs w:val="0"/>
                <w:color w:val="auto"/>
                <w:lang w:val="en-US" w:eastAsia="zh-CN"/>
              </w:rPr>
              <w:t>26项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耕地属性判定、基本农田区域划定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县自然资源局：负责会同农业农村局组织实施耕地属性判定、基本农田区域划定。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县林业和草原局：负责对在草原管理、保护、建设、合理利用和科学研究等工作中做出显著成绩的单位和个人的奖励。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出具群众苗木种植情况、树木种类、苗木销售、苗木检疫等证明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w:t>
            </w:r>
            <w:r>
              <w:rPr>
                <w:rFonts w:ascii="Times New Roman" w:hAnsi="Times New Roman" w:eastAsia="方正公文仿宋" w:cs="Times New Roman"/>
                <w:i w:val="0"/>
                <w:snapToGrid w:val="0"/>
                <w:color w:val="000000"/>
                <w:kern w:val="0"/>
                <w:sz w:val="21"/>
                <w:szCs w:val="21"/>
                <w:u w:val="none"/>
                <w:lang w:val="en-US" w:eastAsia="zh-CN"/>
              </w:rPr>
              <w:t>负责出具群众苗木种植情况、树木种类、苗木销售、苗木检疫等证明。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对林业有害生物的监测、检疫、防治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县林业和草原局：负责对林业有害生物的监测、检疫、防治。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县林业和草原局：负责代为恢复植被和林业生产条件或代为补种树木。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水工程安全管理监督检查（对水库大坝的定期检查和监督管理）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县水务局：做好水工程领域水库大坝的定期检查和监督管理。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县自然资源局：加强对临时建设和临时用地的监督检查。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对非法占用土地的处罚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县农业农村局：负责对非法占用土地行为的监督管理，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县自然资源局：负责对破坏或者擅自改变基本农田保护区标志的违法行为监管，</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县林业和草原局：负责对在森林防火期、森林防火区内擅自野外用火行为的监督管理，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县林业和草原局：负责对禁牧期和禁牧区域放牧或者休牧期、轮牧区抢牧、滥牧行为的监督管理，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县林业和草原局：负责对临时占用林地逾期不归还行为的监督管理，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县林业和草原局：负责对收购没有林木采伐许可证或者其他合法来源证明的木材行为的监督管理，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县林业和草原局：负责对未采取防沙治沙措施造成土地严重沙化行为的监督管理，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县林业和草原局：负责对在幼林地砍柴、毁苗、放牧造成林木毁坏行为的监督管理，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县水务局：负责对围湖造地或者未经批准围垦河道阻碍行洪等行为的监督管理，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县水务局：负责对未经批准擅自取水或未依照批准的取水许可规定条件取水行为的监督管理，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县水务局：负责对侵占、毁坏水工程及水利设施、从事影响水利工程安全行为的监督管理，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县水务局：负责对侵占、破坏水源和抗旱设施行为的监督管理，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县水务局：负责对单位和个人占用行水、蓄水区域或因生产、集市贸易或者其他活动使行洪沟道成为通行道行为的监督管理，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县水务局：负责对未经批准，擅自在水工程管理范围内开采地下资源或者进行考古发掘等行为的监督管理，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县水务局：负责对在崩塌、滑坡危险区或者泥石流易发区从事取土、挖砂、采石等可能造成水土流失的行为的监督管理，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县水务局：负责对在禁止开垦坡度以上陡坡地开垦种植农作物或者在禁止开垦、开发的植物保护带内开垦、开发行为的监督管理，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县水务局：负责对采集发菜或者在水土流失重点预防区和重点治理区铲草皮、挖树兜、滥挖虫草、甘草、麻黄等行为的监督管理，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县水务局：负责对在河流、湖泊、水库、渠道以及专门存放地以外的沟道倾倒固体废弃物行为的监督管理，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拆除禁牧区域内私搭乱建羊圈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县林业和草原局：负责拆除禁牧区域内私搭乱建羊圈。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六、生态环保（</w:t>
            </w:r>
            <w:r>
              <w:rPr>
                <w:rStyle w:val="20"/>
                <w:rFonts w:ascii="Times New Roman" w:hAnsi="Times New Roman" w:eastAsia="方正公文黑体" w:cs="Times New Roman"/>
                <w:b w:val="0"/>
                <w:bCs w:val="0"/>
                <w:color w:val="auto"/>
                <w:lang w:val="en-US" w:eastAsia="zh-CN"/>
              </w:rPr>
              <w:t>10项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国省干线用地范围内环境整治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宁夏公路管理中心固原分中心：按照工作要求，对国省干线用地范围内环境整治。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河道私设排污口监管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固原市生态环境局泾源分局：负责本行政区域入河排污口设置审批、登记和监督管理。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辖区内蓄水池、水源、河道维护清淤工作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w:t>
            </w:r>
            <w:r>
              <w:rPr>
                <w:rFonts w:hint="eastAsia" w:ascii="Times New Roman" w:hAnsi="Times New Roman" w:eastAsia="方正公文仿宋" w:cs="Times New Roman"/>
                <w:i w:val="0"/>
                <w:snapToGrid w:val="0"/>
                <w:color w:val="auto"/>
                <w:kern w:val="0"/>
                <w:sz w:val="21"/>
                <w:szCs w:val="21"/>
                <w:u w:val="none"/>
                <w:lang w:val="en-US" w:eastAsia="zh-CN"/>
              </w:rPr>
              <w:t>负责</w:t>
            </w:r>
            <w:r>
              <w:rPr>
                <w:rFonts w:hint="eastAsia" w:ascii="Times New Roman" w:hAnsi="Times New Roman" w:eastAsia="方正公文仿宋" w:cs="Times New Roman"/>
                <w:i w:val="0"/>
                <w:snapToGrid w:val="0"/>
                <w:color w:val="000000"/>
                <w:kern w:val="0"/>
                <w:sz w:val="21"/>
                <w:szCs w:val="21"/>
                <w:u w:val="none"/>
                <w:lang w:val="en-US" w:eastAsia="zh-CN"/>
              </w:rPr>
              <w:t>对河道清淤项目的招投标；组织实施清淤项目；监督检查施工进度；完成清淤项目验收及资金兑付。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燃煤锅炉、工业窑炉排查整治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固原市生态环境局泾源分局：组织开展排查，研究制定排查整治实施方案，明确排查范围、标准，整治工作计划、技术路线、经费保障等并组织实施。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清理企业违法违规产能</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县工业信息化和商务局：按照职责分工负责组织开展清理违法违规产能，明确淘汰和落后过剩产能标准并列出名单，依法依规对行政许可手续不全、责令整改不达标的企业予以查处。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固原市生态环境局泾源分局：负责开展辖区内非道路机械摸排、登记工作。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辖区施工企业环境卫生备案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县城乡建设和交通运输局：负责开展施工企业环境卫生备案工作。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县农业农村局：负责对在县级以上人民政府划定区域内露天焚烧秸秆、落叶、枯草等产生烟尘污染的物质行为的监督管理，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七、城乡建设（</w:t>
            </w:r>
            <w:r>
              <w:rPr>
                <w:rStyle w:val="20"/>
                <w:rFonts w:hint="eastAsia" w:ascii="Times New Roman" w:hAnsi="Times New Roman" w:eastAsia="方正公文黑体" w:cs="Times New Roman"/>
                <w:b w:val="0"/>
                <w:bCs w:val="0"/>
                <w:color w:val="auto"/>
                <w:lang w:val="en-US" w:eastAsia="zh-CN"/>
              </w:rPr>
              <w:t>20</w:t>
            </w:r>
            <w:r>
              <w:rPr>
                <w:rStyle w:val="20"/>
                <w:rFonts w:ascii="Times New Roman" w:hAnsi="Times New Roman" w:eastAsia="方正公文黑体" w:cs="Times New Roman"/>
                <w:b w:val="0"/>
                <w:bCs w:val="0"/>
                <w:color w:val="auto"/>
                <w:lang w:val="en-US" w:eastAsia="zh-CN"/>
              </w:rPr>
              <w:t>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旅游厕所建设和管理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县文化旅游广电局：负责配备专门人员、资金等对旅游公厕进行管理和建设。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辖区农村公路施工活动审批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县城乡建设和交通运输局：负责做好辖区农村公路施工活动审批工作。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县自然资源局：负责对临时建筑物、构筑物和其他设施限期拆除期满仍不拆除的强制拆除。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县自然资源局：负责对建设单位和个人未经批准进行临时建设、未按照批准内容进行临时建设、临时建筑物、构筑物超过批准权限不拆除等行为的监督管理，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县自然资源局：负责对未取得建设工程规划许可证或者未按照建设工程规划许可证的规定进行建设的行为的监督管理，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县城乡建设和交通运输局：负责对随意倾倒、抛洒、堆放城市生活垃圾等行为的监督管理，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县城乡建设和交通运输局：负责对从事城市生活垃圾经营性清扫、收集、运输的企业在运输过程中沿途丢弃、遗撒生活垃圾等行为的监督管理，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对物业服务企业将一个物业管理区域内的全部物业管理一并委托给他人的处罚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县城乡建设和交通运输局：负责对物业服务企业将一个物业管理区域内的全部物业管理一并委托给他人行为的监督管理，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县城乡建设和交通运输局：负责对建筑垃圾储运消纳场受纳工业垃圾、生活垃圾和有毒有害垃圾行为的监督管理，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县城乡建设和交通运输局：负责对施工单位未及时清运工程施工过程中产生的建筑垃圾行为的监督管理，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县城乡建设和交通运输局：负责对单位和个人随意倾倒、抛撒或者堆放建筑垃圾行为的监督管理，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县城乡建设和交通运输局：负责对在运输建筑垃圾过程中沿途丢弃、遗撒建筑垃圾行为的监督管理，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县城乡建设和交通运输局：负责对擅自拆除、迁移环境卫生设施行为的监督管理，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对在公共场所随地吐痰、擤鼻涕、便溺的；单位或者个人违反《城市市容和环境卫生管理条例》规定，在市区内饲养家畜家禽的处罚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县城乡建设和交通运输局：负责对在公共场所随地吐痰、擤鼻涕、便溺的；单位或者个人违反《城市市容和环境卫生管理条例》规定，在市区内饲养家畜家禽的等行为的监督管理，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68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仿宋_GB2312" w:hAnsi="宋体" w:eastAsia="仿宋_GB2312" w:cs="仿宋_GB2312"/>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城乡危旧房和自建房安全隐患整治工作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仿宋_GB2312" w:hAnsi="宋体" w:eastAsia="仿宋_GB2312" w:cs="仿宋_GB2312"/>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县城乡建设和交通运输局：负责开展城乡危旧房和自建房安全隐患整治工作。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69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仿宋_GB2312" w:hAnsi="宋体" w:eastAsia="仿宋_GB2312" w:cs="仿宋_GB2312"/>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房屋征收实物补偿未及时领取、使用等历史遗留问题的处置</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仿宋_GB2312" w:hAnsi="宋体" w:eastAsia="仿宋_GB2312" w:cs="仿宋_GB2312"/>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县城乡建设和交通运输局：负责房屋征收实物补偿未及时领取、使用等历史遗留问题的处置。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仿宋_GB2312" w:hAnsi="宋体" w:eastAsia="仿宋_GB2312" w:cs="仿宋_GB2312"/>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房屋安全问题整改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仿宋_GB2312" w:hAnsi="宋体" w:eastAsia="仿宋_GB2312" w:cs="仿宋_GB2312"/>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县城乡建设和交通运输局：负责检查房屋安全问题整改并上报整改情况。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71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仿宋_GB2312" w:hAnsi="宋体" w:eastAsia="仿宋_GB2312" w:cs="仿宋_GB2312"/>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城乡结合部、村改居、背街小巷区域的垃圾清运</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仿宋_GB2312" w:hAnsi="宋体" w:eastAsia="仿宋_GB2312" w:cs="仿宋_GB2312"/>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县城乡建设和交通运输局：负责做好对城乡结合部、村改居、背街小巷区域的垃圾清运。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72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清理排放建筑垃圾的建设工地未设置建筑垃圾堆放场地或者建设工程项目竣工后，逾期不清运干净的建筑垃圾</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县城乡建设和交通运输局：负责清理排放建筑垃圾的建设工地未设置建筑垃圾堆放场地或者建设工程项目竣工后，逾期不清运干净的建筑垃圾。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八、卫生健康（</w:t>
            </w:r>
            <w:r>
              <w:rPr>
                <w:rStyle w:val="20"/>
                <w:rFonts w:ascii="Times New Roman" w:hAnsi="Times New Roman" w:eastAsia="方正公文黑体" w:cs="Times New Roman"/>
                <w:b w:val="0"/>
                <w:bCs w:val="0"/>
                <w:color w:val="auto"/>
                <w:lang w:val="en-US" w:eastAsia="zh-CN"/>
              </w:rPr>
              <w:t>1项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73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县卫生健康局：负责对在禁止吸烟场所吸烟等行为的监督管理，发现上述行为依法予以查处。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九、应急管理及消防（</w:t>
            </w:r>
            <w:r>
              <w:rPr>
                <w:rStyle w:val="20"/>
                <w:rFonts w:ascii="Times New Roman" w:hAnsi="Times New Roman" w:eastAsia="方正公文黑体" w:cs="Times New Roman"/>
                <w:b w:val="0"/>
                <w:bCs w:val="0"/>
                <w:color w:val="auto"/>
                <w:lang w:val="en-US" w:eastAsia="zh-CN"/>
              </w:rPr>
              <w:t>9项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lang w:val="en-US" w:eastAsia="zh-CN"/>
              </w:rPr>
            </w:pPr>
            <w:r>
              <w:rPr>
                <w:rFonts w:hint="eastAsia"/>
                <w:lang w:val="en-US" w:eastAsia="zh-CN"/>
              </w:rPr>
              <w:t>74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危险化学品排查整治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县应急管理局：负责加强危险化学品安全监管。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75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建立微型消防站</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县消防救援大队：负责建立微型消防站。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76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县应急管理局：负责对粉尘涉爆企业实施安全监督管理。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w:t>
            </w:r>
            <w:r>
              <w:rPr>
                <w:rFonts w:hint="eastAsia" w:ascii="Times New Roman" w:hAnsi="Times New Roman" w:eastAsia="方正公文仿宋" w:cs="Times New Roman"/>
                <w:i w:val="0"/>
                <w:snapToGrid w:val="0"/>
                <w:color w:val="000000"/>
                <w:kern w:val="0"/>
                <w:sz w:val="21"/>
                <w:szCs w:val="21"/>
                <w:u w:val="none"/>
                <w:lang w:val="en-US" w:eastAsia="zh-CN"/>
              </w:rPr>
              <w:t>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县消防救援大队：负责对占用、堵塞、封闭疏散通道、安全出口或者有其他妨碍安全疏散等行为的监督管理，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w:t>
            </w:r>
            <w:r>
              <w:rPr>
                <w:rFonts w:hint="eastAsia" w:ascii="Times New Roman" w:hAnsi="Times New Roman" w:eastAsia="方正公文仿宋" w:cs="Times New Roman"/>
                <w:i w:val="0"/>
                <w:snapToGrid w:val="0"/>
                <w:color w:val="000000"/>
                <w:kern w:val="0"/>
                <w:sz w:val="21"/>
                <w:szCs w:val="21"/>
                <w:u w:val="none"/>
                <w:lang w:val="en-US" w:eastAsia="zh-CN"/>
              </w:rPr>
              <w:t>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县消防救援大队：负责对埋压、圈占、遮挡消火栓或者占用防火间距等行为的监督管理，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w:t>
            </w:r>
            <w:r>
              <w:rPr>
                <w:rFonts w:hint="eastAsia" w:ascii="Times New Roman" w:hAnsi="Times New Roman" w:eastAsia="方正公文仿宋" w:cs="Times New Roman"/>
                <w:i w:val="0"/>
                <w:snapToGrid w:val="0"/>
                <w:color w:val="000000"/>
                <w:kern w:val="0"/>
                <w:sz w:val="21"/>
                <w:szCs w:val="21"/>
                <w:u w:val="none"/>
                <w:lang w:val="en-US" w:eastAsia="zh-CN"/>
              </w:rPr>
              <w:t>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县消防救援大队：负责对占用、堵塞、封闭消防车通道、妨碍消防车通行等行为的监督管理，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县消防救援大队：负责对人员密集场所在门窗上设置影响疏散逃生和灭火救援的障碍物等行为的监督管理，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81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县消防救援大队：负责对在高层民用建筑的公共门厅、疏散走道、楼梯间、安全出口停放电动自行车或者为电动自行车充电，拒不改正等行为的监督管理，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82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县应急管理局、县工业信息化和商务局：</w:t>
            </w:r>
            <w:r>
              <w:rPr>
                <w:rFonts w:ascii="Times New Roman" w:hAnsi="Times New Roman" w:eastAsia="方正公文仿宋" w:cs="Times New Roman"/>
                <w:i w:val="0"/>
                <w:snapToGrid w:val="0"/>
                <w:color w:val="000000"/>
                <w:kern w:val="0"/>
                <w:sz w:val="21"/>
                <w:szCs w:val="21"/>
                <w:u w:val="none"/>
                <w:lang w:eastAsia="zh-CN"/>
              </w:rPr>
              <w:t>按照职责分工，</w:t>
            </w:r>
            <w:r>
              <w:rPr>
                <w:rFonts w:hint="eastAsia" w:ascii="Times New Roman" w:hAnsi="Times New Roman" w:eastAsia="方正公文仿宋" w:cs="Times New Roman"/>
                <w:i w:val="0"/>
                <w:snapToGrid w:val="0"/>
                <w:color w:val="000000"/>
                <w:kern w:val="0"/>
                <w:sz w:val="21"/>
                <w:szCs w:val="21"/>
                <w:u w:val="none"/>
                <w:lang w:val="en-US" w:eastAsia="zh-CN"/>
              </w:rPr>
              <w:t>负责对全县加油站开展安全生产监督检查。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十、市场监管（</w:t>
            </w:r>
            <w:r>
              <w:rPr>
                <w:rStyle w:val="20"/>
                <w:rFonts w:ascii="Times New Roman" w:hAnsi="Times New Roman" w:eastAsia="方正公文黑体" w:cs="Times New Roman"/>
                <w:b w:val="0"/>
                <w:bCs w:val="0"/>
                <w:color w:val="auto"/>
                <w:lang w:val="en-US" w:eastAsia="zh-CN"/>
              </w:rPr>
              <w:t>4项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83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烟花爆竹许可证书办理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县应急管理局：负责办理烟花爆竹许可证书。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84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县市场监督管理局：负责特种设备专项整治和监管执法。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85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特种设备事故调查处理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县市场监督管理局：负责特种设备事故调查处理。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86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对特种设备事故应急处置</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县市场监督管理局：负责对特种设备事故应急处置。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十一、教育培训监管（</w:t>
            </w:r>
            <w:r>
              <w:rPr>
                <w:rStyle w:val="20"/>
                <w:rFonts w:ascii="Times New Roman" w:hAnsi="Times New Roman" w:eastAsia="方正公文黑体" w:cs="Times New Roman"/>
                <w:b w:val="0"/>
                <w:bCs w:val="0"/>
                <w:color w:val="auto"/>
                <w:lang w:val="en-US" w:eastAsia="zh-CN"/>
              </w:rPr>
              <w:t>3项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w:t>
            </w:r>
            <w:r>
              <w:rPr>
                <w:rFonts w:hint="eastAsia" w:ascii="Times New Roman" w:hAnsi="Times New Roman" w:eastAsia="方正公文仿宋" w:cs="Times New Roman"/>
                <w:i w:val="0"/>
                <w:snapToGrid w:val="0"/>
                <w:color w:val="000000"/>
                <w:kern w:val="0"/>
                <w:sz w:val="21"/>
                <w:szCs w:val="21"/>
                <w:u w:val="none"/>
                <w:lang w:val="en-US" w:eastAsia="zh-CN"/>
              </w:rPr>
              <w:t>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县教育体育局：负责出具适龄儿童、少年到非户籍所在地入学申请证明。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w:t>
            </w:r>
            <w:r>
              <w:rPr>
                <w:rFonts w:hint="eastAsia" w:ascii="Times New Roman" w:hAnsi="Times New Roman" w:eastAsia="方正公文仿宋" w:cs="Times New Roman"/>
                <w:i w:val="0"/>
                <w:snapToGrid w:val="0"/>
                <w:color w:val="000000"/>
                <w:kern w:val="0"/>
                <w:sz w:val="21"/>
                <w:szCs w:val="21"/>
                <w:u w:val="none"/>
                <w:lang w:val="en-US" w:eastAsia="zh-CN"/>
              </w:rPr>
              <w:t>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适龄儿童、少年因身体状况需要延缓入学或者休学审批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县教育体育局：负责对适龄儿童、少年因身体状况需要延缓入学或者休学的进行审批。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89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涉校涉生安全管理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县教育体育局：负责开展学校安全生产排查、隐患整改等工作。</w:t>
            </w:r>
          </w:p>
        </w:tc>
      </w:tr>
    </w:tbl>
    <w:p>
      <w:pPr>
        <w:rPr>
          <w:lang w:eastAsia="zh-CN"/>
        </w:rPr>
      </w:pPr>
    </w:p>
    <w:p>
      <w:pPr>
        <w:rPr>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auto"/>
    <w:pitch w:val="default"/>
    <w:sig w:usb0="00000000" w:usb1="00000000" w:usb2="00000000" w:usb3="00000000" w:csb0="20000001" w:csb1="00000000"/>
  </w:font>
  <w:font w:name="文泉驿正黑">
    <w:altName w:val="方正黑体_GBK"/>
    <w:panose1 w:val="02000603000000000000"/>
    <w:charset w:val="86"/>
    <w:family w:val="script"/>
    <w:pitch w:val="default"/>
    <w:sig w:usb0="00000000" w:usb1="00000000" w:usb2="00000036" w:usb3="00000000" w:csb0="603E000D" w:csb1="D2D70000"/>
  </w:font>
  <w:font w:name="等线">
    <w:altName w:val="方正黑体_GBK"/>
    <w:panose1 w:val="02010600030101010101"/>
    <w:charset w:val="86"/>
    <w:family w:val="auto"/>
    <w:pitch w:val="default"/>
    <w:sig w:usb0="00000000" w:usb1="00000000" w:usb2="00000016" w:usb3="00000000" w:csb0="0004000F" w:csb1="00000000"/>
  </w:font>
  <w:font w:name="方正公文仿宋">
    <w:altName w:val="方正仿宋_GBK"/>
    <w:panose1 w:val="02000000000000000000"/>
    <w:charset w:val="86"/>
    <w:family w:val="auto"/>
    <w:pitch w:val="default"/>
    <w:sig w:usb0="00000000" w:usb1="00000000" w:usb2="00000000" w:usb3="00000000" w:csb0="00040000" w:csb1="00000000"/>
  </w:font>
  <w:font w:name="等线 Light">
    <w:altName w:val="方正黑体_GBK"/>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公文小标宋">
    <w:altName w:val="方正小标宋_GBK"/>
    <w:panose1 w:val="02000000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eastAsia="宋体"/>
      </w:rPr>
    </w:pPr>
    <w:r>
      <w:rPr>
        <w:lang w:eastAsia="zh-CN"/>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76200" cy="260350"/>
              <wp:effectExtent l="0" t="0" r="0" b="0"/>
              <wp:wrapNone/>
              <wp:docPr id="1" name="文本框 1"/>
              <wp:cNvGraphicFramePr/>
              <a:graphic xmlns:a="http://schemas.openxmlformats.org/drawingml/2006/main">
                <a:graphicData uri="http://schemas.microsoft.com/office/word/2010/wordprocessingShape">
                  <wps:wsp>
                    <wps:cNvSpPr/>
                    <wps:spPr>
                      <a:xfrm>
                        <a:off x="0" y="0"/>
                        <a:ext cx="76200" cy="260449"/>
                      </a:xfrm>
                      <a:prstGeom prst="rect">
                        <a:avLst/>
                      </a:prstGeom>
                      <a:noFill/>
                      <a:ln cap="flat" cmpd="sng">
                        <a:noFill/>
                        <a:prstDash val="solid"/>
                        <a:round/>
                      </a:ln>
                    </wps:spPr>
                    <wps:txbx>
                      <w:txbxContent>
                        <w:p>
                          <w:pPr>
                            <w:pStyle w:val="8"/>
                            <w:rPr>
                              <w:rStyle w:val="14"/>
                              <w:rFonts w:ascii="宋体" w:hAnsi="宋体" w:eastAsia="宋体"/>
                              <w:sz w:val="28"/>
                              <w:szCs w:val="28"/>
                            </w:rPr>
                          </w:pP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20.5pt;width:6pt;mso-position-horizontal:center;mso-position-horizontal-relative:margin;mso-wrap-style:none;z-index:1024;mso-width-relative:page;mso-height-relative:page;" filled="f" stroked="f" coordsize="21600,21600" o:gfxdata="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sA/570AAAAAMBAAAPAAAAAAAAAAEAIAAAADgAAABkcnMvZG93bnJldi54bWxQSwECFAAU&#10;AAAACACHTuJAnKSlGeMBAACkAwAADgAAAAAAAAABACAAAAA1AQAAZHJzL2Uyb0RvYy54bWxQSwUG&#10;AAAAAAYABgBZAQAAigUAAAAA&#10;">
              <v:fill on="f" focussize="0,0"/>
              <v:stroke on="f" joinstyle="round"/>
              <v:imagedata o:title=""/>
              <o:lock v:ext="edit" aspectratio="f"/>
              <v:textbox inset="0mm,0mm,0mm,0mm" style="mso-fit-shape-to-text:t;">
                <w:txbxContent>
                  <w:p>
                    <w:pPr>
                      <w:pStyle w:val="8"/>
                      <w:rPr>
                        <w:rStyle w:val="14"/>
                        <w:rFonts w:ascii="宋体" w:hAnsi="宋体" w:eastAsia="宋体"/>
                        <w:sz w:val="28"/>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10"/>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17FC4D73"/>
    <w:rsid w:val="67FB8BF0"/>
    <w:rsid w:val="7DDC66D2"/>
    <w:rsid w:val="AD87E9CE"/>
    <w:rsid w:val="BBBE66AB"/>
    <w:rsid w:val="CE3D8A2F"/>
    <w:rsid w:val="E7FFFFA6"/>
    <w:rsid w:val="ECDD2E83"/>
    <w:rsid w:val="F7DF6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文泉驿正黑" w:hAnsi="文泉驿正黑" w:eastAsia="黑体"/>
      <w:b/>
      <w:bCs/>
      <w:sz w:val="32"/>
      <w:szCs w:val="32"/>
    </w:rPr>
  </w:style>
  <w:style w:type="paragraph" w:styleId="5">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6">
    <w:name w:val="Body Text"/>
    <w:basedOn w:val="1"/>
    <w:qFormat/>
    <w:uiPriority w:val="0"/>
  </w:style>
  <w:style w:type="paragraph" w:styleId="7">
    <w:name w:val="toc 3"/>
    <w:basedOn w:val="1"/>
    <w:next w:val="1"/>
    <w:qFormat/>
    <w:uiPriority w:val="0"/>
    <w:pPr>
      <w:kinsoku/>
      <w:autoSpaceDE/>
      <w:autoSpaceDN/>
      <w:adjustRightInd/>
      <w:snapToGrid/>
      <w:spacing w:after="100" w:line="259" w:lineRule="auto"/>
      <w:ind w:left="440"/>
      <w:textAlignment w:val="auto"/>
    </w:pPr>
    <w:rPr>
      <w:rFonts w:ascii="等线" w:hAnsi="等线" w:eastAsia="等线" w:cs="Times New Roman"/>
      <w:snapToGrid/>
      <w:color w:val="auto"/>
      <w:sz w:val="22"/>
      <w:szCs w:val="22"/>
      <w:lang w:eastAsia="zh-CN"/>
    </w:rPr>
  </w:style>
  <w:style w:type="paragraph" w:styleId="8">
    <w:name w:val="footer"/>
    <w:basedOn w:val="1"/>
    <w:qFormat/>
    <w:uiPriority w:val="0"/>
    <w:pPr>
      <w:tabs>
        <w:tab w:val="center" w:pos="4153"/>
        <w:tab w:val="right" w:pos="8306"/>
      </w:tabs>
    </w:pPr>
    <w:rPr>
      <w:sz w:val="18"/>
      <w:szCs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0"/>
    <w:pPr>
      <w:numPr>
        <w:ilvl w:val="0"/>
        <w:numId w:val="1"/>
      </w:numPr>
    </w:pPr>
    <w:rPr>
      <w:rFonts w:ascii="Times New Roman" w:hAnsi="Times New Roman" w:eastAsia="方正公文仿宋"/>
      <w:sz w:val="32"/>
    </w:rPr>
  </w:style>
  <w:style w:type="paragraph" w:styleId="11">
    <w:name w:val="toc 2"/>
    <w:basedOn w:val="1"/>
    <w:next w:val="1"/>
    <w:qFormat/>
    <w:uiPriority w:val="0"/>
    <w:pPr>
      <w:kinsoku/>
      <w:autoSpaceDE/>
      <w:autoSpaceDN/>
      <w:adjustRightInd/>
      <w:snapToGrid/>
      <w:spacing w:after="100" w:line="259" w:lineRule="auto"/>
      <w:ind w:left="220"/>
      <w:textAlignment w:val="auto"/>
    </w:pPr>
    <w:rPr>
      <w:rFonts w:ascii="等线" w:hAnsi="等线" w:eastAsia="等线" w:cs="Times New Roman"/>
      <w:snapToGrid/>
      <w:color w:val="auto"/>
      <w:sz w:val="22"/>
      <w:szCs w:val="22"/>
      <w:lang w:eastAsia="zh-CN"/>
    </w:rPr>
  </w:style>
  <w:style w:type="character" w:styleId="14">
    <w:name w:val="page number"/>
    <w:qFormat/>
    <w:uiPriority w:val="0"/>
  </w:style>
  <w:style w:type="character" w:styleId="15">
    <w:name w:val="Hyperlink"/>
    <w:basedOn w:val="13"/>
    <w:qFormat/>
    <w:uiPriority w:val="0"/>
    <w:rPr>
      <w:color w:val="0563C1"/>
      <w:u w:val="single"/>
    </w:rPr>
  </w:style>
  <w:style w:type="character" w:customStyle="1" w:styleId="16">
    <w:name w:val="heading 1 Char"/>
    <w:basedOn w:val="13"/>
    <w:link w:val="3"/>
    <w:qFormat/>
    <w:uiPriority w:val="0"/>
    <w:rPr>
      <w:rFonts w:ascii="Arial" w:hAnsi="Arial" w:eastAsia="Arial" w:cs="Arial"/>
      <w:b/>
      <w:bCs/>
      <w:snapToGrid w:val="0"/>
      <w:color w:val="000000"/>
      <w:kern w:val="44"/>
      <w:sz w:val="44"/>
      <w:szCs w:val="44"/>
      <w:lang w:val="en-US" w:bidi="ar-SA"/>
    </w:rPr>
  </w:style>
  <w:style w:type="character" w:customStyle="1" w:styleId="17">
    <w:name w:val="heading 2 Char"/>
    <w:basedOn w:val="13"/>
    <w:link w:val="4"/>
    <w:qFormat/>
    <w:uiPriority w:val="0"/>
    <w:rPr>
      <w:rFonts w:ascii="文泉驿正黑" w:hAnsi="Arial" w:eastAsia="黑体" w:cs="Arial"/>
      <w:b/>
      <w:bCs/>
      <w:snapToGrid w:val="0"/>
      <w:color w:val="000000"/>
      <w:kern w:val="0"/>
      <w:sz w:val="32"/>
      <w:szCs w:val="32"/>
      <w:lang w:val="en-US" w:bidi="ar-SA"/>
    </w:rPr>
  </w:style>
  <w:style w:type="character" w:customStyle="1" w:styleId="18">
    <w:name w:val="heading 3 Char"/>
    <w:basedOn w:val="13"/>
    <w:link w:val="5"/>
    <w:qFormat/>
    <w:uiPriority w:val="0"/>
    <w:rPr>
      <w:rFonts w:ascii="Arial" w:hAnsi="Arial" w:eastAsia="Arial" w:cs="Arial"/>
      <w:b/>
      <w:bCs/>
      <w:snapToGrid w:val="0"/>
      <w:color w:val="000000"/>
      <w:kern w:val="0"/>
      <w:sz w:val="32"/>
      <w:szCs w:val="32"/>
      <w:lang w:val="en-US" w:bidi="ar-SA"/>
    </w:rPr>
  </w:style>
  <w:style w:type="paragraph" w:customStyle="1" w:styleId="19">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0">
    <w:name w:val="font21"/>
    <w:qFormat/>
    <w:uiPriority w:val="0"/>
    <w:rPr>
      <w:rFonts w:ascii="Times New Roman" w:hAnsi="Times New Roman" w:cs="Times New Roman"/>
      <w:color w:val="000000"/>
      <w:sz w:val="24"/>
      <w:szCs w:val="24"/>
      <w:u w:val="none"/>
    </w:rPr>
  </w:style>
  <w:style w:type="character" w:customStyle="1" w:styleId="21">
    <w:name w:val="font101"/>
    <w:qFormat/>
    <w:uiPriority w:val="0"/>
    <w:rPr>
      <w:rFonts w:ascii="Times New Roman" w:hAnsi="Times New Roman" w:cs="Times New Roman"/>
      <w:color w:val="000000"/>
      <w:sz w:val="22"/>
      <w:szCs w:val="22"/>
      <w:u w:val="none"/>
    </w:rPr>
  </w:style>
  <w:style w:type="paragraph" w:customStyle="1" w:styleId="22">
    <w:name w:val="TOC Heading"/>
    <w:basedOn w:val="3"/>
    <w:next w:val="1"/>
    <w:qFormat/>
    <w:uiPriority w:val="0"/>
    <w:pPr>
      <w:kinsoku/>
      <w:autoSpaceDE/>
      <w:autoSpaceDN/>
      <w:adjustRightInd/>
      <w:snapToGrid/>
      <w:spacing w:before="240" w:after="0" w:line="259" w:lineRule="auto"/>
      <w:textAlignment w:val="auto"/>
      <w:outlineLvl w:val="9"/>
    </w:pPr>
    <w:rPr>
      <w:rFonts w:ascii="等线 Light" w:hAnsi="等线 Light" w:eastAsia="等线 Light" w:cs="Times New Roman"/>
      <w:b w:val="0"/>
      <w:bCs w:val="0"/>
      <w:snapToGrid/>
      <w:color w:val="2E75B6"/>
      <w:kern w:val="0"/>
      <w:sz w:val="32"/>
      <w:szCs w:val="32"/>
      <w:lang w:eastAsia="zh-CN"/>
    </w:rPr>
  </w:style>
  <w:style w:type="character" w:customStyle="1" w:styleId="23">
    <w:name w:val="font51"/>
    <w:basedOn w:val="13"/>
    <w:qFormat/>
    <w:uiPriority w:val="0"/>
    <w:rPr>
      <w:rFonts w:ascii="仿宋_GB2312" w:eastAsia="仿宋_GB2312" w:cs="仿宋_GB2312"/>
      <w:color w:val="000000"/>
      <w:sz w:val="32"/>
      <w:szCs w:val="32"/>
      <w:u w:val="none"/>
    </w:rPr>
  </w:style>
  <w:style w:type="character" w:customStyle="1" w:styleId="24">
    <w:name w:val="font31"/>
    <w:basedOn w:val="13"/>
    <w:qFormat/>
    <w:uiPriority w:val="0"/>
    <w:rPr>
      <w:rFonts w:ascii="Times New Roman" w:hAnsi="Times New Roman" w:cs="Times New Roman"/>
      <w:color w:val="000000"/>
      <w:sz w:val="32"/>
      <w:szCs w:val="32"/>
      <w:u w:val="none"/>
    </w:rPr>
  </w:style>
  <w:style w:type="character" w:customStyle="1" w:styleId="25">
    <w:name w:val="font41"/>
    <w:basedOn w:val="13"/>
    <w:qFormat/>
    <w:uiPriority w:val="0"/>
    <w:rPr>
      <w:rFonts w:ascii="仿宋_GB2312" w:eastAsia="仿宋_GB2312" w:cs="仿宋_GB2312"/>
      <w:b/>
      <w:color w:val="000000"/>
      <w:sz w:val="32"/>
      <w:szCs w:val="32"/>
      <w:u w:val="none"/>
    </w:rPr>
  </w:style>
  <w:style w:type="character" w:customStyle="1" w:styleId="26">
    <w:name w:val="font01"/>
    <w:basedOn w:val="13"/>
    <w:qFormat/>
    <w:uiPriority w:val="0"/>
    <w:rPr>
      <w:rFonts w:ascii="Times New Roman" w:hAnsi="Times New Roman" w:cs="Times New Roman"/>
      <w:b/>
      <w:color w:val="000000"/>
      <w:sz w:val="32"/>
      <w:szCs w:val="32"/>
      <w:u w:val="none"/>
    </w:rPr>
  </w:style>
  <w:style w:type="character" w:customStyle="1" w:styleId="27">
    <w:name w:val="font11"/>
    <w:basedOn w:val="13"/>
    <w:qFormat/>
    <w:uiPriority w:val="0"/>
    <w:rPr>
      <w:rFonts w:ascii="仿宋_GB2312" w:eastAsia="仿宋_GB2312" w:cs="仿宋_GB2312"/>
      <w:color w:val="000000"/>
      <w:sz w:val="32"/>
      <w:szCs w:val="32"/>
      <w:u w:val="none"/>
    </w:rPr>
  </w:style>
  <w:style w:type="character" w:customStyle="1" w:styleId="28">
    <w:name w:val="font111"/>
    <w:basedOn w:val="13"/>
    <w:qFormat/>
    <w:uiPriority w:val="0"/>
    <w:rPr>
      <w:rFonts w:ascii="仿宋_GB2312" w:eastAsia="仿宋_GB2312" w:cs="仿宋_GB2312"/>
      <w:color w:val="FF0000"/>
      <w:sz w:val="32"/>
      <w:szCs w:val="32"/>
      <w:u w:val="none"/>
    </w:rPr>
  </w:style>
  <w:style w:type="character" w:customStyle="1" w:styleId="29">
    <w:name w:val="font71"/>
    <w:basedOn w:val="13"/>
    <w:qFormat/>
    <w:uiPriority w:val="0"/>
    <w:rPr>
      <w:rFonts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55</Pages>
  <Words>0</Words>
  <Characters>29430</Characters>
  <Lines>0</Lines>
  <Paragraphs>27</Paragraphs>
  <TotalTime>0</TotalTime>
  <ScaleCrop>false</ScaleCrop>
  <LinksUpToDate>false</LinksUpToDate>
  <CharactersWithSpaces>39240</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2024-07-20T12:59:00Z</dcterms:created>
  <dc:creator>liuhl</dc:creator>
  <cp:lastModifiedBy>guyuan</cp:lastModifiedBy>
  <cp:lastPrinted>2025-04-24T19:19:00Z</cp:lastPrinted>
  <dcterms:modified xsi:type="dcterms:W3CDTF">2026-03-12T10:43:49Z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FF8757CE913627FCD76607682A492BCD</vt:lpwstr>
  </property>
</Properties>
</file>