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val="0"/>
        <w:topLinePunct w:val="0"/>
        <w:autoSpaceDE w:val="0"/>
        <w:autoSpaceDN w:val="0"/>
        <w:bidi w:val="0"/>
        <w:adjustRightInd w:val="0"/>
        <w:snapToGrid w:val="0"/>
        <w:jc w:val="left"/>
        <w:textAlignment w:val="baseline"/>
        <w:rPr>
          <w:rFonts w:ascii="方正公文小标宋" w:eastAsia="方正公文小标宋"/>
          <w:b w:val="0"/>
          <w:sz w:val="84"/>
          <w:szCs w:val="84"/>
          <w:lang w:eastAsia="zh-CN"/>
        </w:rPr>
      </w:pPr>
      <w:bookmarkStart w:id="12" w:name="_GoBack"/>
      <w:bookmarkEnd w:id="12"/>
      <w:bookmarkStart w:id="0" w:name="_Toc176767294"/>
      <w:bookmarkStart w:id="1" w:name="_Toc172077950"/>
      <w:bookmarkStart w:id="2" w:name="_Toc172077417"/>
      <w:bookmarkStart w:id="3" w:name="_Toc172077552"/>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泾河源镇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66312726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hint="eastAsia" w:ascii="等线" w:hAnsi="等线" w:eastAsia="方正公文仿宋" w:cs="Arial"/>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w:t>
          </w:r>
          <w:r>
            <w:fldChar w:fldCharType="end"/>
          </w:r>
          <w:r>
            <w:fldChar w:fldCharType="end"/>
          </w:r>
          <w:r>
            <w:rPr>
              <w:rFonts w:hint="eastAsia"/>
              <w:lang w:val="en-US" w:eastAsia="zh-CN"/>
            </w:rPr>
            <w:t>4</w:t>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4" w:name="_Toc176767293"/>
      <w:bookmarkStart w:id="5" w:name="_Toc172077416"/>
      <w:bookmarkStart w:id="6" w:name="_Toc172077551"/>
      <w:bookmarkStart w:id="7"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4"/>
      <w:bookmarkEnd w:id="5"/>
      <w:bookmarkEnd w:id="6"/>
      <w:bookmarkEnd w:id="7"/>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hAnsi="方正公文黑体" w:eastAsia="方正公文黑体"/>
                <w:color w:val="auto"/>
                <w:lang w:val="en-US" w:eastAsia="zh-CN"/>
              </w:rPr>
              <w:t>一、党的建设（2</w:t>
            </w:r>
            <w:r>
              <w:rPr>
                <w:rStyle w:val="20"/>
                <w:rFonts w:hint="eastAsia" w:hAnsi="方正公文黑体" w:eastAsia="方正公文黑体"/>
                <w:color w:val="auto"/>
                <w:lang w:val="en-US" w:eastAsia="zh-CN"/>
              </w:rPr>
              <w:t>4</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val="en" w:eastAsia="zh-CN"/>
              </w:rPr>
              <w:t>学习贯彻</w:t>
            </w:r>
            <w:r>
              <w:rPr>
                <w:rFonts w:ascii="Times New Roman" w:hAnsi="Times New Roman" w:eastAsia="方正公文仿宋" w:cs="Times New Roman"/>
                <w:lang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w:t>
            </w:r>
            <w:r>
              <w:rPr>
                <w:rFonts w:hint="eastAsia" w:ascii="Times New Roman" w:hAnsi="Times New Roman" w:eastAsia="方正公文仿宋" w:cs="Times New Roman"/>
                <w:lang w:eastAsia="zh-CN"/>
              </w:rPr>
              <w:t>镇</w:t>
            </w:r>
            <w:r>
              <w:rPr>
                <w:rFonts w:ascii="Times New Roman" w:hAnsi="Times New Roman" w:eastAsia="方正公文仿宋" w:cs="Times New Roman"/>
                <w:lang w:eastAsia="zh-CN"/>
              </w:rPr>
              <w:t>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二、经济发展（18项）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编制并执行财政预决算，加强和规范</w:t>
            </w:r>
            <w:r>
              <w:rPr>
                <w:rFonts w:hint="eastAsia" w:ascii="Times New Roman" w:hAnsi="Times New Roman" w:eastAsia="方正公文仿宋" w:cs="Times New Roman"/>
                <w:b w:val="0"/>
                <w:bCs w:val="0"/>
                <w:i w:val="0"/>
                <w:snapToGrid w:val="0"/>
                <w:color w:val="000000"/>
                <w:kern w:val="0"/>
                <w:sz w:val="21"/>
                <w:szCs w:val="21"/>
                <w:u w:val="none"/>
                <w:lang w:val="en-US" w:eastAsia="zh-CN"/>
              </w:rPr>
              <w:t>镇</w:t>
            </w:r>
            <w:r>
              <w:rPr>
                <w:rFonts w:ascii="Times New Roman" w:hAnsi="Times New Roman" w:eastAsia="方正公文仿宋" w:cs="Times New Roman"/>
                <w:b w:val="0"/>
                <w:bCs w:val="0"/>
                <w:i w:val="0"/>
                <w:snapToGrid w:val="0"/>
                <w:color w:val="000000"/>
                <w:kern w:val="0"/>
                <w:sz w:val="21"/>
                <w:szCs w:val="21"/>
                <w:u w:val="none"/>
                <w:lang w:val="en-US" w:eastAsia="zh-CN"/>
              </w:rPr>
              <w:t>、村两级财务收支管理。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依托独特区位优势和资源禀赋，围绕刺绣、泾源黄牛肉等泾源特色产品和非遗文化，发挥产业优势，推动农文旅深度融合。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负责生态经济发展工作，开展“林禽、林菌、林药、林蜂、林旅、林草”融合政策宣传及落实，开展林下经济项目建设工作。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提升资源有效转化率，申报、实施龙潭村有机肥生产等项目，推动循环农业建设。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挖掘特色资源优势，发展特种养殖业，建设底沟村林麝、梅花鹿养殖场，拓展周边市场，带动群众致富增收。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完善农产品深加工体系，培育壮大伊辉牛肉、泾六盘蜂蜜、六盘露矿泉水等本地特色农产品品牌，发挥品牌效应。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三、民生服务（1</w:t>
            </w:r>
            <w:r>
              <w:rPr>
                <w:rStyle w:val="20"/>
                <w:rFonts w:hint="eastAsia" w:hAnsi="方正公文黑体" w:eastAsia="方正公文黑体"/>
                <w:color w:val="auto"/>
                <w:lang w:val="en-US" w:eastAsia="zh-CN"/>
              </w:rPr>
              <w:t>6</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做好农村</w:t>
            </w:r>
            <w:r>
              <w:rPr>
                <w:rFonts w:hint="eastAsia" w:ascii="Times New Roman" w:hAnsi="Times New Roman" w:eastAsia="方正公文仿宋" w:cs="Times New Roman"/>
                <w:b w:val="0"/>
                <w:bCs w:val="0"/>
                <w:i w:val="0"/>
                <w:snapToGrid w:val="0"/>
                <w:color w:val="000000"/>
                <w:kern w:val="0"/>
                <w:sz w:val="21"/>
                <w:szCs w:val="21"/>
                <w:u w:val="none"/>
                <w:lang w:val="en-US" w:eastAsia="zh-CN"/>
              </w:rPr>
              <w:t>公益性</w:t>
            </w:r>
            <w:r>
              <w:rPr>
                <w:rFonts w:ascii="Times New Roman" w:hAnsi="Times New Roman" w:eastAsia="方正公文仿宋" w:cs="Times New Roman"/>
                <w:b w:val="0"/>
                <w:bCs w:val="0"/>
                <w:i w:val="0"/>
                <w:snapToGrid w:val="0"/>
                <w:color w:val="000000"/>
                <w:kern w:val="0"/>
                <w:sz w:val="21"/>
                <w:szCs w:val="21"/>
                <w:u w:val="none"/>
                <w:lang w:val="en-US" w:eastAsia="zh-CN"/>
              </w:rPr>
              <w:t>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w:t>
            </w:r>
            <w:r>
              <w:rPr>
                <w:rFonts w:hint="eastAsia" w:ascii="Times New Roman" w:hAnsi="Times New Roman" w:eastAsia="方正公文仿宋" w:cs="Times New Roman"/>
                <w:b w:val="0"/>
                <w:bCs w:val="0"/>
                <w:i w:val="0"/>
                <w:snapToGrid w:val="0"/>
                <w:color w:val="000000"/>
                <w:kern w:val="0"/>
                <w:sz w:val="21"/>
                <w:szCs w:val="21"/>
                <w:u w:val="none"/>
                <w:lang w:val="en-US" w:eastAsia="zh-CN"/>
              </w:rPr>
              <w:t>劳务管理服务工作，开展劳动力资源摸排，做好劳务输出和</w:t>
            </w:r>
            <w:r>
              <w:rPr>
                <w:rFonts w:ascii="Times New Roman" w:hAnsi="Times New Roman" w:eastAsia="方正公文仿宋" w:cs="Times New Roman"/>
                <w:b w:val="0"/>
                <w:bCs w:val="0"/>
                <w:i w:val="0"/>
                <w:snapToGrid w:val="0"/>
                <w:color w:val="000000"/>
                <w:kern w:val="0"/>
                <w:sz w:val="21"/>
                <w:szCs w:val="21"/>
                <w:u w:val="none"/>
                <w:lang w:val="en-US" w:eastAsia="zh-CN"/>
              </w:rPr>
              <w:t>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做好城乡居民基本养老保险、灵活就业人员养老保险的信息采集、参保登记、待遇领取认证等相关工作。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hAnsi="方正公文黑体" w:eastAsia="方正公文黑体"/>
                <w:color w:val="auto"/>
                <w:lang w:val="en-US" w:eastAsia="zh-CN"/>
              </w:rPr>
              <w:t>四、平安法治（1</w:t>
            </w:r>
            <w:r>
              <w:rPr>
                <w:rStyle w:val="20"/>
                <w:rFonts w:hint="eastAsia" w:hAnsi="方正公文黑体" w:eastAsia="方正公文黑体"/>
                <w:color w:val="auto"/>
                <w:lang w:val="en-US" w:eastAsia="zh-CN"/>
              </w:rPr>
              <w:t>3</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做好大型活动和重要时期公共安全维护，负责辖区重点人群管控、维护活动秩序、安保值守等工作，协助有关部门做好突发事件的应对处置。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hAnsi="方正公文黑体" w:eastAsia="方正公文黑体"/>
                <w:color w:val="auto"/>
                <w:lang w:val="en-US" w:eastAsia="zh-CN"/>
              </w:rPr>
              <w:t>五、乡村振兴（</w:t>
            </w:r>
            <w:r>
              <w:rPr>
                <w:rStyle w:val="20"/>
                <w:rFonts w:hint="eastAsia" w:hAnsi="方正公文黑体" w:eastAsia="方正公文黑体"/>
                <w:color w:val="auto"/>
                <w:lang w:val="en-US" w:eastAsia="zh-CN"/>
              </w:rPr>
              <w:t>9</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napToGrid w:val="0"/>
                <w:color w:val="000000"/>
                <w:kern w:val="0"/>
                <w:sz w:val="21"/>
                <w:szCs w:val="21"/>
                <w:lang w:val="en-US" w:eastAsia="zh-CN"/>
              </w:rPr>
            </w:pPr>
            <w:r>
              <w:rPr>
                <w:rFonts w:hint="eastAsia" w:ascii="Times New Roman" w:hAnsi="Times New Roman" w:eastAsia="方正公文黑体" w:cs="Times New Roman"/>
                <w:snapToGrid w:val="0"/>
                <w:color w:val="000000"/>
                <w:kern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培育现代乡村产业，指导、扶持和服务农民专业合作社、家庭农场等新型经营主体发展，做好“土特产”文章，发展乡村种养殖业、加工流通业、休闲旅游业、乡村服务业。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组织实施农田水利基本建设，开展已移交的水利基础设施巡查、管护工作。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研究制定传统村落保护发展措施，负责冶家村传统村落项目申报、建设、维修和利用，做好传统村落发展保护工作。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hAnsi="方正公文黑体" w:eastAsia="方正公文黑体"/>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加强基层宗教工作，建立健全宗教网络体系和</w:t>
            </w:r>
            <w:r>
              <w:rPr>
                <w:rFonts w:hint="eastAsia" w:ascii="Times New Roman" w:hAnsi="Times New Roman" w:eastAsia="方正公文仿宋" w:cs="Times New Roman"/>
                <w:b w:val="0"/>
                <w:bCs w:val="0"/>
                <w:i w:val="0"/>
                <w:snapToGrid w:val="0"/>
                <w:color w:val="000000"/>
                <w:kern w:val="0"/>
                <w:sz w:val="21"/>
                <w:szCs w:val="21"/>
                <w:u w:val="none"/>
                <w:lang w:val="en-US" w:eastAsia="zh-CN"/>
              </w:rPr>
              <w:t>镇</w:t>
            </w:r>
            <w:r>
              <w:rPr>
                <w:rFonts w:ascii="Times New Roman" w:hAnsi="Times New Roman" w:eastAsia="方正公文仿宋" w:cs="Times New Roman"/>
                <w:b w:val="0"/>
                <w:bCs w:val="0"/>
                <w:i w:val="0"/>
                <w:snapToGrid w:val="0"/>
                <w:color w:val="000000"/>
                <w:kern w:val="0"/>
                <w:sz w:val="21"/>
                <w:szCs w:val="21"/>
                <w:u w:val="none"/>
                <w:lang w:val="en-US" w:eastAsia="zh-CN"/>
              </w:rPr>
              <w:t>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加强宗教活动场所日常</w:t>
            </w:r>
            <w:r>
              <w:rPr>
                <w:rFonts w:hint="eastAsia" w:ascii="Times New Roman" w:hAnsi="Times New Roman" w:eastAsia="方正公文仿宋" w:cs="Times New Roman"/>
                <w:b w:val="0"/>
                <w:bCs w:val="0"/>
                <w:i w:val="0"/>
                <w:snapToGrid w:val="0"/>
                <w:color w:val="000000"/>
                <w:kern w:val="0"/>
                <w:sz w:val="21"/>
                <w:szCs w:val="21"/>
                <w:u w:val="none"/>
                <w:lang w:val="en-US" w:eastAsia="zh-CN"/>
              </w:rPr>
              <w:t>管理</w:t>
            </w:r>
            <w:r>
              <w:rPr>
                <w:rFonts w:ascii="Times New Roman" w:hAnsi="Times New Roman" w:eastAsia="方正公文仿宋" w:cs="Times New Roman"/>
                <w:b w:val="0"/>
                <w:bCs w:val="0"/>
                <w:i w:val="0"/>
                <w:snapToGrid w:val="0"/>
                <w:color w:val="000000"/>
                <w:kern w:val="0"/>
                <w:sz w:val="21"/>
                <w:szCs w:val="21"/>
                <w:u w:val="none"/>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八、生态环保（10项）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实施底沟村碳汇林项目，提升森林碳汇能力，助力应对气候变化，实现生态与经济的协同发展。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十、文化和旅游（</w:t>
            </w:r>
            <w:r>
              <w:rPr>
                <w:rStyle w:val="20"/>
                <w:rFonts w:hint="eastAsia" w:hAnsi="方正公文黑体" w:eastAsia="方正公文黑体"/>
                <w:color w:val="auto"/>
                <w:lang w:val="en-US" w:eastAsia="zh-CN"/>
              </w:rPr>
              <w:t>9</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依托国家级传统村落—冶家村、泾水北岸露营地、泾河夜肆、村休闲农庄等文化和旅游资源，促进泾河源镇农文旅深度融合发展。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培育发展休闲旅游、农事体验游、农耕研学游等业态，配套建设美术写生基地，配备泾河北岸“七彩滑道”、火山蹦床等游乐设施。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培育“土特产”品牌，打造泾源黄牛肉电商体验店、优质农特产品展销中心，发展“后备箱”经济。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开展全国（自治区）乡村旅游重点镇、自治区级中心镇建设试点项目申报。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开展景区周边环境综合整治，维护旅游秩序，保障旅游者合法权益，及时调处化解矛盾纠纷。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组织协调村委会做好流浪犬、猫的控制和处置，做好农村地区饲养犬只的防疫管理工作。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消防安全责任制，加强对农村消防工作的领导，指导、支持和帮助村委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default" w:ascii="Times New Roman" w:hAnsi="Times New Roman" w:eastAsia="方正公文仿宋" w:cs="Times New Roman"/>
                <w:snapToGrid w:val="0"/>
                <w:color w:val="auto"/>
                <w:kern w:val="0"/>
                <w:sz w:val="21"/>
                <w:szCs w:val="21"/>
                <w:lang w:val="en" w:eastAsia="zh-CN"/>
              </w:rPr>
            </w:pPr>
            <w:r>
              <w:rPr>
                <w:rFonts w:hint="eastAsia" w:ascii="Times New Roman" w:hAnsi="Times New Roman" w:eastAsia="方正公文仿宋" w:cs="Times New Roman"/>
                <w:color w:val="auto"/>
                <w:lang w:val="en-US" w:eastAsia="zh-CN"/>
              </w:rPr>
              <w:t>县</w:t>
            </w:r>
            <w:r>
              <w:rPr>
                <w:rFonts w:hint="default" w:ascii="Times New Roman" w:hAnsi="Times New Roman" w:eastAsia="方正公文仿宋" w:cs="Times New Roman"/>
                <w:color w:val="auto"/>
                <w:lang w:val="en" w:eastAsia="zh-CN"/>
              </w:rPr>
              <w:t>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w:t>
            </w:r>
            <w:r>
              <w:rPr>
                <w:rFonts w:hint="default" w:ascii="Times New Roman" w:hAnsi="Times New Roman" w:eastAsia="方正公文仿宋" w:cs="Times New Roman"/>
                <w:color w:val="auto"/>
                <w:lang w:val="en" w:eastAsia="zh-CN"/>
              </w:rPr>
              <w:t>林业和草原局</w:t>
            </w:r>
            <w:r>
              <w:rPr>
                <w:rFonts w:hint="eastAsia" w:ascii="Times New Roman" w:hAnsi="Times New Roman" w:eastAsia="方正公文仿宋" w:cs="Times New Roman"/>
                <w:color w:val="auto"/>
                <w:lang w:val="en-US" w:eastAsia="zh-CN"/>
              </w:rPr>
              <w:t>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53CBCE61"/>
    <w:rsid w:val="BB4B56D2"/>
    <w:rsid w:val="D16FC206"/>
    <w:rsid w:val="EFEF4431"/>
    <w:rsid w:val="FDFE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81"/>
    <w:basedOn w:val="13"/>
    <w:qFormat/>
    <w:uiPriority w:val="0"/>
    <w:rPr>
      <w:rFonts w:ascii="Times New Roman" w:hAnsi="Times New Roman" w:cs="Times New Roman"/>
      <w:color w:val="000000"/>
      <w:sz w:val="28"/>
      <w:szCs w:val="28"/>
      <w:u w:val="none"/>
    </w:rPr>
  </w:style>
  <w:style w:type="character" w:customStyle="1" w:styleId="29">
    <w:name w:val="font91"/>
    <w:basedOn w:val="13"/>
    <w:qFormat/>
    <w:uiPriority w:val="0"/>
    <w:rPr>
      <w:rFonts w:ascii="仿宋_GB2312" w:eastAsia="仿宋_GB2312" w:cs="仿宋_GB2312"/>
      <w:color w:val="000000"/>
      <w:sz w:val="28"/>
      <w:szCs w:val="28"/>
      <w:u w:val="none"/>
    </w:rPr>
  </w:style>
  <w:style w:type="character" w:customStyle="1" w:styleId="30">
    <w:name w:val="font112"/>
    <w:basedOn w:val="13"/>
    <w:qFormat/>
    <w:uiPriority w:val="0"/>
    <w:rPr>
      <w:rFonts w:ascii="Times New Roman" w:hAnsi="Times New Roman" w:cs="Times New Roman"/>
      <w:b/>
      <w:color w:val="000000"/>
      <w:sz w:val="28"/>
      <w:szCs w:val="28"/>
      <w:u w:val="none"/>
    </w:rPr>
  </w:style>
  <w:style w:type="character" w:customStyle="1" w:styleId="31">
    <w:name w:val="font71"/>
    <w:basedOn w:val="13"/>
    <w:qFormat/>
    <w:uiPriority w:val="0"/>
    <w:rPr>
      <w:rFonts w:ascii="Times New Roman" w:hAnsi="Times New Roman" w:cs="Times New Roman"/>
      <w:color w:val="000000"/>
      <w:sz w:val="32"/>
      <w:szCs w:val="32"/>
      <w:u w:val="none"/>
    </w:rPr>
  </w:style>
  <w:style w:type="character" w:customStyle="1" w:styleId="32">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28485</Characters>
  <Lines>0</Lines>
  <Paragraphs>24</Paragraphs>
  <TotalTime>0</TotalTime>
  <ScaleCrop>false</ScaleCrop>
  <LinksUpToDate>false</LinksUpToDate>
  <CharactersWithSpaces>37980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2024-07-28T20:59:00Z</dcterms:created>
  <dc:creator>liuhl</dc:creator>
  <cp:lastModifiedBy>guyuan</cp:lastModifiedBy>
  <cp:lastPrinted>2025-04-24T05:07:00Z</cp:lastPrinted>
  <dcterms:modified xsi:type="dcterms:W3CDTF">2026-03-12T10:44:52Z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CF3FD4F1F971C2E72AF00668BF7559EB</vt:lpwstr>
  </property>
</Properties>
</file>