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bookmarkStart w:id="12" w:name="_GoBack"/>
      <w:bookmarkEnd w:id="12"/>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hint="eastAsia" w:ascii="方正公文小标宋" w:eastAsia="方正公文小标宋"/>
          <w:sz w:val="84"/>
          <w:szCs w:val="84"/>
          <w:lang w:eastAsia="zh-CN"/>
        </w:rPr>
        <w:t>市</w:t>
      </w:r>
      <w:r>
        <w:rPr>
          <w:rFonts w:ascii="方正公文小标宋" w:eastAsia="方正公文小标宋"/>
          <w:sz w:val="84"/>
          <w:szCs w:val="84"/>
          <w:lang w:eastAsia="zh-CN"/>
        </w:rPr>
        <w:t>泾源</w:t>
      </w:r>
      <w:r>
        <w:rPr>
          <w:rFonts w:hint="eastAsia" w:ascii="方正公文小标宋" w:eastAsia="方正公文小标宋"/>
          <w:sz w:val="84"/>
          <w:szCs w:val="84"/>
          <w:lang w:eastAsia="zh-CN"/>
        </w:rPr>
        <w:t>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兴盛乡履行职责事项清单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hint="eastAsia" w:ascii="方正小标宋简体" w:hAnsi="方正小标宋简体" w:eastAsia="方正小标宋简体" w:cs="方正小标宋简体"/>
          <w:snapToGrid w:val="0"/>
          <w:color w:val="000000"/>
          <w:sz w:val="44"/>
          <w:szCs w:val="44"/>
          <w:lang w:val="zh-CN"/>
        </w:rPr>
        <w:id w:val="-1253021297"/>
        <w:docPartObj>
          <w:docPartGallery w:val="Table of Contents"/>
          <w:docPartUnique/>
        </w:docPartObj>
      </w:sdtPr>
      <w:sdtEndPr>
        <w:rPr>
          <w:rFonts w:hint="eastAsia" w:ascii="Arial" w:hAnsi="Arial" w:eastAsia="Arial" w:cs="Arial"/>
          <w:b/>
          <w:bCs/>
          <w:snapToGrid w:val="0"/>
          <w:color w:val="000000"/>
          <w:sz w:val="21"/>
          <w:szCs w:val="21"/>
          <w:lang w:val="zh-CN"/>
        </w:rPr>
      </w:sdtEndPr>
      <w:sdtContent>
        <w:p>
          <w:pPr>
            <w:spacing w:before="0" w:after="0" w:line="240" w:lineRule="auto"/>
            <w:ind w:left="0" w:right="0" w:firstLine="0"/>
            <w:jc w:val="center"/>
            <w:rPr>
              <w:rFonts w:hint="eastAsia" w:ascii="方正小标宋简体" w:hAnsi="方正小标宋简体" w:eastAsia="方正小标宋简体" w:cs="方正小标宋简体"/>
              <w:snapToGrid w:val="0"/>
              <w:color w:val="000000"/>
              <w:sz w:val="44"/>
              <w:szCs w:val="44"/>
              <w:lang w:val="zh-CN"/>
            </w:rPr>
          </w:pPr>
        </w:p>
        <w:p>
          <w:pPr>
            <w:spacing w:before="0" w:after="0" w:line="240" w:lineRule="auto"/>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0"/>
            <w:numPr>
              <w:ilvl w:val="0"/>
              <w:numId w:val="0"/>
            </w:numPr>
            <w:tabs>
              <w:tab w:val="right" w:leader="dot" w:pos="14001"/>
            </w:tabs>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_Toc13964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_Toc13964 \h </w:instrText>
          </w:r>
          <w:r>
            <w:fldChar w:fldCharType="separate"/>
          </w:r>
          <w:r>
            <w:t>1</w:t>
          </w:r>
          <w:r>
            <w:fldChar w:fldCharType="end"/>
          </w:r>
          <w:r>
            <w:fldChar w:fldCharType="end"/>
          </w:r>
        </w:p>
        <w:p>
          <w:pPr>
            <w:pStyle w:val="10"/>
            <w:numPr>
              <w:ilvl w:val="0"/>
              <w:numId w:val="0"/>
            </w:numPr>
            <w:tabs>
              <w:tab w:val="right" w:leader="dot" w:pos="14001"/>
            </w:tabs>
          </w:pPr>
          <w:r>
            <w:rPr>
              <w:rFonts w:hint="eastAsia"/>
              <w:bCs/>
              <w:lang w:val="en-US" w:eastAsia="zh-CN"/>
            </w:rPr>
            <w:t>2.</w:t>
          </w:r>
          <w:r>
            <w:rPr>
              <w:bCs/>
              <w:lang w:val="zh-CN"/>
            </w:rPr>
            <w:fldChar w:fldCharType="begin"/>
          </w:r>
          <w:r>
            <w:rPr>
              <w:bCs/>
              <w:lang w:val="zh-CN"/>
            </w:rPr>
            <w:instrText xml:space="preserve"> HYPERLINK \l _Toc6627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_Toc6627 \h </w:instrText>
          </w:r>
          <w:r>
            <w:fldChar w:fldCharType="separate"/>
          </w:r>
          <w:r>
            <w:t>14</w:t>
          </w:r>
          <w:r>
            <w:fldChar w:fldCharType="end"/>
          </w:r>
          <w:r>
            <w:rPr>
              <w:bCs/>
              <w:lang w:val="zh-CN"/>
            </w:rPr>
            <w:fldChar w:fldCharType="end"/>
          </w:r>
        </w:p>
        <w:p>
          <w:pPr>
            <w:pStyle w:val="10"/>
            <w:numPr>
              <w:ilvl w:val="0"/>
              <w:numId w:val="0"/>
            </w:numPr>
            <w:tabs>
              <w:tab w:val="right" w:leader="dot" w:pos="14001"/>
            </w:tabs>
          </w:pPr>
          <w:r>
            <w:rPr>
              <w:rFonts w:hint="eastAsia"/>
              <w:bCs/>
              <w:lang w:val="en-US" w:eastAsia="zh-CN"/>
            </w:rPr>
            <w:t>3.</w:t>
          </w:r>
          <w:r>
            <w:rPr>
              <w:bCs/>
              <w:lang w:val="zh-CN"/>
            </w:rPr>
            <w:fldChar w:fldCharType="begin"/>
          </w:r>
          <w:r>
            <w:rPr>
              <w:bCs/>
              <w:lang w:val="zh-CN"/>
            </w:rPr>
            <w:instrText xml:space="preserve"> HYPERLINK \l _Toc5063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_Toc5063 \h </w:instrText>
          </w:r>
          <w:r>
            <w:fldChar w:fldCharType="separate"/>
          </w:r>
          <w:r>
            <w:t>44</w:t>
          </w:r>
          <w:r>
            <w:fldChar w:fldCharType="end"/>
          </w:r>
          <w:r>
            <w:rPr>
              <w:bCs/>
              <w:lang w:val="zh-CN"/>
            </w:rPr>
            <w:fldChar w:fldCharType="end"/>
          </w:r>
        </w:p>
        <w:p>
          <w:pPr>
            <w:pStyle w:val="10"/>
            <w:numPr>
              <w:ilvl w:val="0"/>
              <w:numId w:val="0"/>
            </w:numPr>
            <w:tabs>
              <w:tab w:val="right" w:leader="dot" w:pos="13991"/>
            </w:tabs>
          </w:pPr>
          <w:r>
            <w:rPr>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3964"/>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lang w:eastAsia="zh-CN"/>
              </w:rPr>
            </w:pPr>
            <w:r>
              <w:rPr>
                <w:rStyle w:val="20"/>
                <w:rFonts w:hint="eastAsia" w:hAnsi="方正公文黑体" w:eastAsia="方正公文黑体"/>
                <w:color w:val="auto"/>
                <w:sz w:val="24"/>
                <w:szCs w:val="24"/>
                <w:lang w:eastAsia="zh-CN"/>
              </w:rPr>
              <w:t>一、党的建设（</w:t>
            </w:r>
            <w:r>
              <w:rPr>
                <w:rStyle w:val="20"/>
                <w:rFonts w:hint="eastAsia" w:hAnsi="方正公文黑体" w:eastAsia="方正公文黑体"/>
                <w:color w:val="auto"/>
                <w:sz w:val="24"/>
                <w:szCs w:val="24"/>
                <w:lang w:val="en-US" w:eastAsia="zh-CN"/>
              </w:rPr>
              <w:t>24</w:t>
            </w:r>
            <w:r>
              <w:rPr>
                <w:rStyle w:val="20"/>
                <w:rFonts w:hint="eastAsia" w:hAnsi="方正公文黑体" w:eastAsia="方正公文黑体"/>
                <w:color w:val="auto"/>
                <w:sz w:val="24"/>
                <w:szCs w:val="24"/>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eastAsia="zh-CN"/>
              </w:rPr>
            </w:pPr>
            <w:r>
              <w:rPr>
                <w:rFonts w:hint="eastAsia" w:ascii="Times New Roman" w:hAnsi="Times New Roman" w:eastAsia="方正公文黑体"/>
                <w:b w:val="0"/>
                <w:bCs w:val="0"/>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 w:eastAsia="zh-CN"/>
              </w:rPr>
              <w:t>学习贯彻</w:t>
            </w:r>
            <w:r>
              <w:rPr>
                <w:rFonts w:hint="eastAsia" w:ascii="Times New Roman" w:hAnsi="Times New Roman" w:eastAsia="方正公文仿宋" w:cs="Times New Roman"/>
                <w:i w:val="0"/>
                <w:snapToGrid w:val="0"/>
                <w:color w:val="000000"/>
                <w:kern w:val="0"/>
                <w:sz w:val="21"/>
                <w:szCs w:val="21"/>
                <w:u w:val="none"/>
                <w:lang w:val="en-US" w:eastAsia="zh-CN"/>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二、经济发展（14项）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依托独特区位优势和资源禀赋，围绕剪纸、泾源黄牛肉等泾源特色产品和非遗文化，发挥产业优势，推动农文旅深度融合。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三、民生服务（16项）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负责劳务管理服务工作，开展劳动力资源摸排、做好乡村公益性岗位人员资格初审、日常管理工作。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四、平安法治（14项）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负责乡村治理“5223”积分卡制度修订、宣传，督促各村做好积分卡兑换及爱心超市商品管理工作。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五、民族宗教（8项）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加强宗教活动场所日常管理，开展日常安全检查，指导宗教活动场所管理组织依法办理土地、规划、建设、消防等手续。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以铸牢中华民族共同体意识为主线，依托冰雪生态资源，在民宿运营、冰雪活动中讲好团结故事、发展故事，促进各族群众增强“三个意识”“四个与共”“五个认同”，构建中华民族共有精神家园。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六、乡村振兴（10项）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打造冷凉蔬菜田间学校，培育农村蔬菜种植小能手，实施幸福农家“123”工程，发展庭院经济。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做好高附加值设施农业，发展农产品采摘等农旅融合项目。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八、生态环保（9项）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十、文化和旅游（10项）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积极挖掘本乡“黄陵寨”文化，做好历史文化的开发和利用。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负责挖掘红色、农耕、民俗文化，做好红星村传统村落规划、开发、建设、保护和利用。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负责做好乡级旅游发展规划，整合乡域旅游资源，围绕“一镇两线三色四品”思路，做好“冰雪小镇”整体规划、对外宣传及招商引资工作，推动兴盛乡农文旅产业高质量发展。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负责开发利用本乡冰雪旅游资源，打造天然冰雕观赏地，举办冰雪运动及冰雪文化节，推动四季旅游，做好冰雪旅游文化服务工作。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举办汽摩节等越野赛事，促进民宿、特色小吃、地摊经济、果蔬采摘发展，增加群众收入。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大力发展乡村旅游，打造“兴盛宿集”“两眼泉民宿”等中高端民宿品牌，推动“农文旅+康养”融合发展。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417"/>
      <w:bookmarkStart w:id="5" w:name="_Toc662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hint="eastAsia" w:ascii="Times New Roman" w:hAnsi="方正公文黑体" w:eastAsia="方正公文黑体"/>
                <w:color w:val="auto"/>
                <w:lang w:val="en-US" w:eastAsia="zh-CN"/>
              </w:rPr>
              <w:t>4</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506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0EFDDD69"/>
    <w:rsid w:val="4F5D8DD7"/>
    <w:rsid w:val="5EFF3E09"/>
    <w:rsid w:val="6C1F494B"/>
    <w:rsid w:val="73BF7A77"/>
    <w:rsid w:val="B9A6EEB8"/>
    <w:rsid w:val="F2F60605"/>
    <w:rsid w:val="FFCF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01"/>
    <w:basedOn w:val="13"/>
    <w:qFormat/>
    <w:uiPriority w:val="0"/>
    <w:rPr>
      <w:rFonts w:ascii="仿宋_GB2312" w:eastAsia="仿宋_GB2312" w:cs="仿宋_GB2312"/>
      <w:b/>
      <w:color w:val="000000"/>
      <w:sz w:val="32"/>
      <w:szCs w:val="32"/>
      <w:u w:val="none"/>
    </w:rPr>
  </w:style>
  <w:style w:type="character" w:customStyle="1" w:styleId="24">
    <w:name w:val="font11"/>
    <w:basedOn w:val="13"/>
    <w:qFormat/>
    <w:uiPriority w:val="0"/>
    <w:rPr>
      <w:rFonts w:ascii="仿宋_GB2312" w:eastAsia="仿宋_GB2312" w:cs="仿宋_GB2312"/>
      <w:color w:val="000000"/>
      <w:sz w:val="32"/>
      <w:szCs w:val="32"/>
      <w:u w:val="none"/>
    </w:rPr>
  </w:style>
  <w:style w:type="character" w:customStyle="1" w:styleId="25">
    <w:name w:val="font81"/>
    <w:basedOn w:val="13"/>
    <w:qFormat/>
    <w:uiPriority w:val="0"/>
    <w:rPr>
      <w:rFonts w:ascii="Times New Roman" w:hAnsi="Times New Roman" w:cs="Times New Roman"/>
      <w:color w:val="000000"/>
      <w:sz w:val="28"/>
      <w:szCs w:val="28"/>
      <w:u w:val="none"/>
    </w:rPr>
  </w:style>
  <w:style w:type="character" w:customStyle="1" w:styleId="26">
    <w:name w:val="font91"/>
    <w:basedOn w:val="13"/>
    <w:qFormat/>
    <w:uiPriority w:val="0"/>
    <w:rPr>
      <w:rFonts w:ascii="仿宋_GB2312" w:eastAsia="仿宋_GB2312" w:cs="仿宋_GB2312"/>
      <w:color w:val="000000"/>
      <w:sz w:val="28"/>
      <w:szCs w:val="28"/>
      <w:u w:val="none"/>
    </w:rPr>
  </w:style>
  <w:style w:type="character" w:customStyle="1" w:styleId="27">
    <w:name w:val="font112"/>
    <w:basedOn w:val="13"/>
    <w:qFormat/>
    <w:uiPriority w:val="0"/>
    <w:rPr>
      <w:rFonts w:ascii="Times New Roman" w:hAnsi="Times New Roman" w:cs="Times New Roman"/>
      <w:b/>
      <w:color w:val="000000"/>
      <w:sz w:val="28"/>
      <w:szCs w:val="28"/>
      <w:u w:val="none"/>
    </w:rPr>
  </w:style>
  <w:style w:type="character" w:customStyle="1" w:styleId="28">
    <w:name w:val="font71"/>
    <w:basedOn w:val="13"/>
    <w:qFormat/>
    <w:uiPriority w:val="0"/>
    <w:rPr>
      <w:rFonts w:ascii="Times New Roman" w:hAnsi="Times New Roman" w:cs="Times New Roman"/>
      <w:color w:val="000000"/>
      <w:sz w:val="32"/>
      <w:szCs w:val="32"/>
      <w:u w:val="none"/>
    </w:rPr>
  </w:style>
  <w:style w:type="character" w:customStyle="1" w:styleId="29">
    <w:name w:val="font6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28392</Characters>
  <Lines>0</Lines>
  <Paragraphs>23</Paragraphs>
  <TotalTime>1</TotalTime>
  <ScaleCrop>false</ScaleCrop>
  <LinksUpToDate>false</LinksUpToDate>
  <CharactersWithSpaces>37857</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2024-07-21T20:59:00Z</dcterms:created>
  <dc:creator>liuhl</dc:creator>
  <cp:lastModifiedBy>guyuan</cp:lastModifiedBy>
  <cp:lastPrinted>2025-04-25T01:56:00Z</cp:lastPrinted>
  <dcterms:modified xsi:type="dcterms:W3CDTF">2026-03-12T10:48:45Z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eyJoZGlkIjoiODAwNDZjZTc0OGNkMDk3ZDE3ZDhiNWIxMjcwMWI0ZTgiLCJ1c2VySWQiOiI2MzY5MzM0MzMifQ==</vt:lpwstr>
  </property>
  <property fmtid="{D5CDD505-2E9C-101B-9397-08002B2CF9AE}" pid="4" name="ICV">
    <vt:lpwstr>D8C68911404A4BB3928D9D2C9613F973_13</vt:lpwstr>
  </property>
</Properties>
</file>