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bookmarkStart w:id="12" w:name="_GoBack"/>
      <w:bookmarkEnd w:id="12"/>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ascii="方正公文小标宋" w:eastAsia="方正公文小标宋"/>
          <w:sz w:val="84"/>
          <w:szCs w:val="84"/>
          <w:lang w:eastAsia="zh-CN"/>
        </w:rPr>
        <w:t>宁夏回族自治区固原</w:t>
      </w:r>
      <w:r>
        <w:rPr>
          <w:rFonts w:hint="eastAsia" w:ascii="方正公文小标宋" w:eastAsia="方正公文小标宋"/>
          <w:sz w:val="84"/>
          <w:szCs w:val="84"/>
          <w:lang w:eastAsia="zh-CN"/>
        </w:rPr>
        <w:t>市</w:t>
      </w:r>
      <w:r>
        <w:rPr>
          <w:rFonts w:ascii="方正公文小标宋" w:eastAsia="方正公文小标宋"/>
          <w:sz w:val="84"/>
          <w:szCs w:val="84"/>
          <w:lang w:eastAsia="zh-CN"/>
        </w:rPr>
        <w:t>泾源</w:t>
      </w:r>
      <w:r>
        <w:rPr>
          <w:rFonts w:hint="eastAsia" w:ascii="方正公文小标宋" w:eastAsia="方正公文小标宋"/>
          <w:sz w:val="84"/>
          <w:szCs w:val="84"/>
          <w:lang w:eastAsia="zh-CN"/>
        </w:rPr>
        <w:t>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大湾乡履行职责事项清单</w:t>
      </w:r>
    </w:p>
    <w:p>
      <w:pPr>
        <w:pStyle w:val="2"/>
        <w:jc w:val="left"/>
        <w:rPr>
          <w:rFonts w:ascii="方正公文小标宋" w:eastAsia="方正公文小标宋"/>
          <w:b w:val="0"/>
          <w:sz w:val="84"/>
          <w:szCs w:val="84"/>
          <w:lang w:eastAsia="zh-CN"/>
        </w:rPr>
      </w:pPr>
    </w:p>
    <w:p>
      <w:pPr>
        <w:rPr>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等线"/>
          <w:b/>
          <w:sz w:val="32"/>
          <w:lang w:eastAsia="zh-CN"/>
        </w:rPr>
      </w:pPr>
    </w:p>
    <w:sdt>
      <w:sdtPr>
        <w:rPr>
          <w:rFonts w:ascii="Arial" w:hAnsi="Arial" w:eastAsia="Arial" w:cs="Arial"/>
          <w:snapToGrid w:val="0"/>
          <w:color w:val="000000"/>
          <w:sz w:val="21"/>
          <w:szCs w:val="21"/>
          <w:lang w:val="zh-CN"/>
        </w:rPr>
        <w:id w:val="1375001328"/>
        <w:docPartObj>
          <w:docPartGallery w:val="Table of Contents"/>
          <w:docPartUnique/>
        </w:docPartObj>
      </w:sdtPr>
      <w:sdtEndPr>
        <w:rPr>
          <w:rFonts w:ascii="Arial" w:hAnsi="Arial" w:eastAsia="Arial" w:cs="Arial"/>
          <w:b/>
          <w:bCs/>
          <w:snapToGrid w:val="0"/>
          <w:color w:val="000000"/>
          <w:sz w:val="21"/>
          <w:szCs w:val="21"/>
          <w:lang w:val="zh-CN"/>
        </w:rPr>
      </w:sdtEndPr>
      <w:sdtContent>
        <w:p>
          <w:pPr>
            <w:pStyle w:val="22"/>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2.</w:t>
          </w:r>
          <w:r>
            <w:fldChar w:fldCharType="begin"/>
          </w:r>
          <w:r>
            <w:instrText xml:space="preserve"> HYPERLINK \l "_Toc176767294" </w:instrText>
          </w:r>
          <w:r>
            <w:fldChar w:fldCharType="separate"/>
          </w:r>
          <w:r>
            <w:rPr>
              <w:rFonts w:eastAsia="方正公文小标宋" w:cs="Times New Roman"/>
              <w:lang w:eastAsia="zh-CN"/>
            </w:rPr>
            <w:t>配合履职事项清单</w:t>
          </w:r>
          <w:r>
            <w:tab/>
          </w:r>
          <w:r>
            <w:fldChar w:fldCharType="begin"/>
          </w:r>
          <w:r>
            <w:instrText xml:space="preserve"> PAGEREF _Toc176767294 \h </w:instrText>
          </w:r>
          <w:r>
            <w:fldChar w:fldCharType="separate"/>
          </w:r>
          <w:r>
            <w:t>15</w:t>
          </w:r>
          <w:r>
            <w:fldChar w:fldCharType="end"/>
          </w:r>
          <w:r>
            <w:fldChar w:fldCharType="end"/>
          </w: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3.</w:t>
          </w:r>
          <w:r>
            <w:fldChar w:fldCharType="begin"/>
          </w:r>
          <w:r>
            <w:instrText xml:space="preserve"> HYPERLINK \l "_Toc176767295" </w:instrText>
          </w:r>
          <w:r>
            <w:fldChar w:fldCharType="separate"/>
          </w:r>
          <w:r>
            <w:rPr>
              <w:rFonts w:eastAsia="方正公文小标宋" w:cs="Times New Roman"/>
              <w:lang w:eastAsia="zh-CN"/>
            </w:rPr>
            <w:t>上级部门收回事项清单</w:t>
          </w:r>
          <w:r>
            <w:tab/>
          </w:r>
          <w:r>
            <w:fldChar w:fldCharType="begin"/>
          </w:r>
          <w:r>
            <w:instrText xml:space="preserve"> PAGEREF _Toc176767295 \h </w:instrText>
          </w:r>
          <w:r>
            <w:fldChar w:fldCharType="separate"/>
          </w:r>
          <w:r>
            <w:t>44</w:t>
          </w:r>
          <w:r>
            <w:fldChar w:fldCharType="end"/>
          </w:r>
          <w:r>
            <w:fldChar w:fldCharType="end"/>
          </w:r>
        </w:p>
        <w:p>
          <w:r>
            <w:rPr>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5"/>
          <w:rFonts w:ascii="Times New Roman" w:hAnsi="Times New Roman" w:eastAsia="方正公文小标宋" w:cs="Times New Roman"/>
          <w:color w:val="0563C1"/>
          <w:sz w:val="32"/>
          <w:u w:val="none"/>
          <w:lang w:eastAsia="zh-CN"/>
        </w:rPr>
      </w:pPr>
    </w:p>
    <w:p>
      <w:pPr>
        <w:rPr>
          <w:rStyle w:val="15"/>
          <w:rFonts w:ascii="Times New Roman" w:hAnsi="Times New Roman" w:eastAsia="方正公文小标宋" w:cs="Times New Roman"/>
          <w:color w:val="0563C1"/>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6767293"/>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2"/>
        <w:tblW w:w="140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2"/>
        <w:gridCol w:w="13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rPr>
            </w:pPr>
            <w:r>
              <w:rPr>
                <w:rFonts w:ascii="Times New Roman" w:hAnsi="Times New Roman" w:eastAsia="方正公文黑体"/>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rPr>
              <w:t>事项</w:t>
            </w:r>
            <w:r>
              <w:rPr>
                <w:rFonts w:ascii="Times New Roman" w:hAnsi="Times New Roman" w:eastAsia="方正公文黑体"/>
                <w:lang w:eastAsia="zh-CN"/>
              </w:rPr>
              <w:t>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黑体"/>
                <w:lang w:eastAsia="zh-CN"/>
              </w:rPr>
            </w:pPr>
            <w:r>
              <w:rPr>
                <w:rStyle w:val="20"/>
                <w:rFonts w:hint="eastAsia" w:hAnsi="方正公文黑体" w:eastAsia="方正公文黑体"/>
                <w:color w:val="auto"/>
                <w:sz w:val="24"/>
                <w:szCs w:val="24"/>
                <w:lang w:eastAsia="zh-CN"/>
              </w:rPr>
              <w:t>一、党的建设（</w:t>
            </w:r>
            <w:r>
              <w:rPr>
                <w:rStyle w:val="20"/>
                <w:rFonts w:hint="eastAsia" w:hAnsi="方正公文黑体" w:eastAsia="方正公文黑体"/>
                <w:color w:val="auto"/>
                <w:sz w:val="24"/>
                <w:szCs w:val="24"/>
                <w:lang w:val="en-US" w:eastAsia="zh-CN"/>
              </w:rPr>
              <w:t>28</w:t>
            </w:r>
            <w:r>
              <w:rPr>
                <w:rStyle w:val="20"/>
                <w:rFonts w:hint="eastAsia" w:hAnsi="方正公文黑体" w:eastAsia="方正公文黑体"/>
                <w:color w:val="auto"/>
                <w:sz w:val="24"/>
                <w:szCs w:val="24"/>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eastAsia="zh-CN"/>
              </w:rPr>
            </w:pPr>
            <w:r>
              <w:rPr>
                <w:rFonts w:hint="eastAsia" w:ascii="Times New Roman" w:hAnsi="Times New Roman" w:eastAsia="方正公文黑体"/>
                <w:b w:val="0"/>
                <w:bCs w:val="0"/>
                <w:lang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default" w:ascii="Times New Roman" w:hAnsi="Times New Roman" w:eastAsia="方正公文仿宋" w:cs="Times New Roman"/>
                <w:i w:val="0"/>
                <w:snapToGrid w:val="0"/>
                <w:color w:val="000000"/>
                <w:kern w:val="0"/>
                <w:sz w:val="21"/>
                <w:szCs w:val="21"/>
                <w:u w:val="none"/>
                <w:lang w:val="en" w:eastAsia="zh-CN"/>
              </w:rPr>
              <w:t>学习贯彻</w:t>
            </w:r>
            <w:r>
              <w:rPr>
                <w:rFonts w:hint="eastAsia" w:ascii="Times New Roman" w:hAnsi="Times New Roman" w:eastAsia="方正公文仿宋" w:cs="Times New Roman"/>
                <w:i w:val="0"/>
                <w:snapToGrid w:val="0"/>
                <w:color w:val="000000"/>
                <w:kern w:val="0"/>
                <w:sz w:val="21"/>
                <w:szCs w:val="21"/>
                <w:u w:val="none"/>
                <w:lang w:val="en-US" w:eastAsia="zh-CN"/>
              </w:rPr>
              <w:t>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认真</w:t>
            </w:r>
            <w:r>
              <w:rPr>
                <w:rFonts w:hint="default" w:ascii="Times New Roman" w:hAnsi="Times New Roman" w:eastAsia="方正公文仿宋" w:cs="Times New Roman"/>
                <w:i w:val="0"/>
                <w:snapToGrid w:val="0"/>
                <w:color w:val="000000"/>
                <w:kern w:val="0"/>
                <w:sz w:val="21"/>
                <w:szCs w:val="21"/>
                <w:u w:val="none"/>
                <w:lang w:val="en" w:eastAsia="zh-CN"/>
              </w:rPr>
              <w:t>学习贯彻</w:t>
            </w:r>
            <w:r>
              <w:rPr>
                <w:rFonts w:hint="eastAsia" w:ascii="Times New Roman" w:hAnsi="Times New Roman" w:eastAsia="方正公文仿宋" w:cs="Times New Roman"/>
                <w:i w:val="0"/>
                <w:snapToGrid w:val="0"/>
                <w:color w:val="000000"/>
                <w:kern w:val="0"/>
                <w:sz w:val="21"/>
                <w:szCs w:val="21"/>
                <w:u w:val="none"/>
                <w:lang w:val="en-US" w:eastAsia="zh-CN"/>
              </w:rPr>
              <w:t>习近平总书记考察杨岭重要指示精神，建强基层党组织，培育增收致富产业，加强基础设施建设，补齐公共服务短板，强化基层治理。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依托杨岭村史馆、老马茶馆、研学实践基地等资源，讲好杨岭村脱贫故事，开展各类教育培训活动，教育引导广大干部群众深入贯彻落实习近平总书记考察杨岭重要指示精神，坚定不移听党话、感党恩、跟党走。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用好杨岭村生态建设及农特产品展示中心，讲好绿水青山就是金山银山的生动实践和杨岭产业故事，推进产业生态化和生态产业化发展。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发挥杨岭村民族团结创建成果展示中心平台作用，开展民族团结进步宣传宣讲等活动，讲好民族团结的故事，促进各民族交往交流交融。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落实党中央决策部署及上级党委工作要求，讨论和决定乡镇经济建设、政治建设、文化建设、社会建设、生态文明建设和党的建设及乡村振兴中的重大问题，落实全面深化改革涉及的具体任务。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落实基层党组织领导的基层群众自治制度，指导村委会、村监委会规范化建设，加强换届选举的监督和指导，指导村委会建强人民调解、治安保卫等委员会，推进民主自治。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按照干部管理权限，负责干部的教育、培训、选拔、考核和监督工作，协助管理上级有关部门派驻单位干部，做好人才服务和引进工作。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落实纪委监督责任，推动乡村两级监督体系建设，做好群众来信、来访、来电及网络举报的受理，按照权限分类处置问题线索，配合上级纪委做好案件监督管理、执纪执法评查等工作。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落实意识形态工作责任制和网络安全工作责任制，加强网络阵地建设和管理，引导基层党组织及党员主动参与网上正能量建设，加强对所属信息系统、数据信息的安全防护。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负责组织本辖区召开乡镇人民代表大会，按照要求做好人大代表选举工作，组织人大代表开展视察调研，加强人大代表家站建设，强化人大代表履职保障工作，办理和督促办理人大代表议案建议。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加强对工会工作的领导，发挥工会组织在推动产业工人队伍建设改革、维护职工合法权益等方面桥梁纽带作用。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落实党管武装政治责任，加强基层武装部阵地规范化建设，开展双拥、国防教育以及潜力统计、民兵整组等国防动员工作，配合做好兵役登记和征兵相关工作。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hint="eastAsia" w:ascii="方正公文仿宋" w:hAnsi="Times New Roman" w:eastAsia="方正公文仿宋"/>
                <w:b w:val="0"/>
                <w:bCs w:val="0"/>
                <w:color w:val="auto"/>
                <w:lang w:val="en-US" w:eastAsia="zh-CN"/>
              </w:rPr>
            </w:pPr>
            <w:r>
              <w:rPr>
                <w:rStyle w:val="20"/>
                <w:rFonts w:hint="eastAsia" w:hAnsi="方正公文黑体" w:eastAsia="方正公文黑体"/>
                <w:b w:val="0"/>
                <w:bCs w:val="0"/>
                <w:color w:val="auto"/>
                <w:lang w:eastAsia="zh-CN"/>
              </w:rPr>
              <w:t>二、经济发展（</w:t>
            </w:r>
            <w:r>
              <w:rPr>
                <w:rStyle w:val="20"/>
                <w:rFonts w:hint="eastAsia" w:hAnsi="方正公文黑体" w:eastAsia="方正公文黑体"/>
                <w:b w:val="0"/>
                <w:bCs w:val="0"/>
                <w:color w:val="auto"/>
                <w:lang w:val="en-US" w:eastAsia="zh-CN"/>
              </w:rPr>
              <w:t>19</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编制并执行财政预决算，加强和规范乡村两级财务收支管理。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指导发展农村集体经济，负责各村村集体经济组织资金、资产、资源的监督管理，监督指导农村集体产权制度改革。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负责闽宁协作帮扶工作，开展交流互访、商议帮扶事项和签订帮扶协议，实现优势互补，促进辖区经济社会发展。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依托独特区位优势和资源禀赋，围绕剪纸、刺绣、泾源黄牛肉等泾源特色产品和非遗文化，发挥产业优势，推动农文旅深度融合。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推动肉牛、菌菇、中药材等产业高质量发展，扩大基地建设和联农带农规模，在品种、质量、市场、销售、品牌等方面做全链条示范。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做好大湾乡肉羊产业发展，制定产业规划，落实产业政策，挖掘大湾羊羔肉历史资源潜能，做大做强国道344线沿线“马路”经济，推动肉羊产业高质高效发展。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充分利用光能、风能优势，发展分散式光伏、风力发电，拓宽群众增收渠道，增加群众收入。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负责“杨岭”版权登记、授权、运营、管理监督，全力做好企农对接协调工作，指导群众围绕“杨岭”品牌开发特色农特产品，增加群众经营性收入。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组建大湾乡首家兽医社会化服务公司，指导开展动物防疫、托管代养等服务，为畜牧业健康发展提供技术保障。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做好六盘村三家储能企业的企地协调、用工对接，同时做好青龙山流域风电项目企地协调、项目征地等工作。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hint="eastAsia" w:ascii="方正公文仿宋" w:hAnsi="Times New Roman" w:eastAsia="方正公文仿宋"/>
                <w:b w:val="0"/>
                <w:bCs w:val="0"/>
                <w:color w:val="auto"/>
                <w:lang w:val="en-US" w:eastAsia="zh-CN"/>
              </w:rPr>
            </w:pPr>
            <w:r>
              <w:rPr>
                <w:rStyle w:val="20"/>
                <w:rFonts w:hint="eastAsia" w:hAnsi="方正公文黑体" w:eastAsia="方正公文黑体"/>
                <w:b w:val="0"/>
                <w:bCs w:val="0"/>
                <w:color w:val="auto"/>
                <w:lang w:eastAsia="zh-CN"/>
              </w:rPr>
              <w:t>三、民生服务（</w:t>
            </w:r>
            <w:r>
              <w:rPr>
                <w:rStyle w:val="20"/>
                <w:rFonts w:hint="eastAsia" w:hAnsi="方正公文黑体" w:eastAsia="方正公文黑体"/>
                <w:b w:val="0"/>
                <w:bCs w:val="0"/>
                <w:color w:val="auto"/>
                <w:lang w:val="en-US" w:eastAsia="zh-CN"/>
              </w:rPr>
              <w:t>16</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统筹辖区审批服务力量和资源，加强便民服务中心和各村综合服务站点建设，依法依规开展审批服务和帮办代办工作，实行“一站式服务”、“一门式办理”。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养老服务补贴、护理补贴、高龄津贴申请受理、审核及上报工作，建立好独居、空巢、失能、重残特殊家庭老年人台账，指导各村做好日间照料中心、老年活动室、老年饭桌、适老化改造、探访关爱服务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落实食品安全工作责任，加强食品安全宣传教育，督促指导辖区执法力量依法履行工作职责。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加强退役军人服务站规范化建设，做好退役军人就业创业扶持、优抚帮扶、走访慰问、权益维护等服务保障工作。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负责劳务管理服务工作，开展劳动力资源摸排，做好劳务输出和乡村公益性岗位人员资格初审、日常管理。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做好城乡居民基本养老保险、灵活就业人员养老保险的信息采集、参保登记、待遇认证领取等相关工作。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做好“忘忧草”残疾人之家建设试点、管理、运营，为残疾人提供全方位支持和帮助，让残疾人感受社会温暖。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b w:val="0"/>
                <w:bCs w:val="0"/>
                <w:lang w:eastAsia="zh-CN"/>
              </w:rPr>
            </w:pPr>
            <w:r>
              <w:rPr>
                <w:rStyle w:val="20"/>
                <w:rFonts w:hint="eastAsia" w:hAnsi="方正公文黑体" w:eastAsia="方正公文黑体"/>
                <w:b w:val="0"/>
                <w:bCs w:val="0"/>
                <w:color w:val="auto"/>
                <w:lang w:eastAsia="zh-CN"/>
              </w:rPr>
              <w:t>四、平安法治（</w:t>
            </w:r>
            <w:r>
              <w:rPr>
                <w:rStyle w:val="20"/>
                <w:rFonts w:hint="eastAsia" w:hAnsi="方正公文黑体" w:eastAsia="方正公文黑体"/>
                <w:b w:val="0"/>
                <w:bCs w:val="0"/>
                <w:color w:val="auto"/>
                <w:lang w:val="en-US" w:eastAsia="zh-CN"/>
              </w:rPr>
              <w:t>14</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加强社会治安综合治理，开展社会涉稳风险研判、风险预警等工作，完善群防群治队伍，防范化解社会稳定风险。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常态化开展扫黑除恶宣传教育和线索摸排工作。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落实“塞上枫桥”基层法治工作机制“1+1+3”固原实践和“4+N”乡村一体下沉联合化解工作机制，做好矛盾纠纷防范、排查、化解和回访工作，及时管控处置危及政治安全和社会稳定的突发事件。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依法成立乡镇人民调解委员会，统筹派出所、司法所、人民法庭等力量，做好人民调解工作。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完善信访联席工作会议机制，受理、办理信访人提出的信访事项，做好职权范围内信访人员疏导教育、帮扶救助、属地稳控等工作，建立健全信访应急预案，联动协同处置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开展反邪教宣传教育和涉邪教人员的教育转化工作。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加强保障铁路安全教育，落实护路联防责任制，防范和制止危害铁路安全的行为。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b w:val="0"/>
                <w:bCs w:val="0"/>
                <w:lang w:eastAsia="zh-CN"/>
              </w:rPr>
            </w:pPr>
            <w:r>
              <w:rPr>
                <w:rStyle w:val="20"/>
                <w:rFonts w:hint="eastAsia" w:hAnsi="方正公文黑体" w:eastAsia="方正公文黑体"/>
                <w:b w:val="0"/>
                <w:bCs w:val="0"/>
                <w:color w:val="auto"/>
                <w:lang w:eastAsia="zh-CN"/>
              </w:rPr>
              <w:t>五、民族宗教（</w:t>
            </w:r>
            <w:r>
              <w:rPr>
                <w:rStyle w:val="20"/>
                <w:rFonts w:hint="eastAsia" w:hAnsi="方正公文黑体" w:eastAsia="方正公文黑体"/>
                <w:b w:val="0"/>
                <w:bCs w:val="0"/>
                <w:color w:val="auto"/>
                <w:lang w:val="en-US" w:eastAsia="zh-CN"/>
              </w:rPr>
              <w:t>8</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巩固和发展平等团结互助和谐的社会主义民族关系，依法治理民族事务，妥善处理涉及民族因素的矛盾纠纷，保障各民族合法权益，保障少数民族保持或者改革自己的风俗习惯的自由。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学习宣传贯彻党的宗教工作理论和方针政策以及法律、法规、规章，</w:t>
            </w:r>
            <w:r>
              <w:rPr>
                <w:rFonts w:ascii="Times New Roman" w:hAnsi="Times New Roman" w:eastAsia="方正公文仿宋" w:cs="Times New Roman"/>
                <w:color w:val="auto"/>
                <w:lang w:eastAsia="zh-CN"/>
              </w:rPr>
              <w:t>化解处置宗教领域矛盾纠纷。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加强基层宗教工作，建立健全宗教网络体系和乡村两级责任制。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指导宗教活动场所管理组织的成立、换届和成员调整，加强宗教教职人员的日常管理。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color w:val="auto"/>
                <w:lang w:val="en-US" w:eastAsia="zh-CN"/>
              </w:rPr>
              <w:t>加强宗教活动场所日常</w:t>
            </w:r>
            <w:r>
              <w:rPr>
                <w:rFonts w:ascii="Times New Roman" w:hAnsi="Times New Roman" w:eastAsia="方正公文仿宋" w:cs="Times New Roman"/>
                <w:color w:val="auto"/>
                <w:lang w:eastAsia="zh-CN"/>
              </w:rPr>
              <w:t>管理</w:t>
            </w:r>
            <w:r>
              <w:rPr>
                <w:rFonts w:hint="eastAsia" w:ascii="Times New Roman" w:hAnsi="Times New Roman" w:eastAsia="方正公文仿宋" w:cs="Times New Roman"/>
                <w:color w:val="auto"/>
                <w:lang w:val="en-US" w:eastAsia="zh-CN"/>
              </w:rPr>
              <w:t>，开展日常安全检查，指导宗教活动场所管理组织依法办理土地、规划、建设、消防等手续。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加强宗教活动管理，做好活动期间秩序维护等工作，及时报告并协助有关部门查处非法宗教活动。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用好区域特色文化和旅游资源禀赋，讲好红色故事、团结故事、发展故事，构建中华民族共有精神家园。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b w:val="0"/>
                <w:bCs w:val="0"/>
                <w:lang w:eastAsia="zh-CN"/>
              </w:rPr>
            </w:pPr>
            <w:r>
              <w:rPr>
                <w:rStyle w:val="20"/>
                <w:rFonts w:hint="eastAsia" w:hAnsi="方正公文黑体" w:eastAsia="方正公文黑体"/>
                <w:b w:val="0"/>
                <w:bCs w:val="0"/>
                <w:color w:val="auto"/>
                <w:lang w:eastAsia="zh-CN"/>
              </w:rPr>
              <w:t>六、乡村振兴（</w:t>
            </w:r>
            <w:r>
              <w:rPr>
                <w:rStyle w:val="20"/>
                <w:rFonts w:hint="eastAsia" w:hAnsi="方正公文黑体" w:eastAsia="方正公文黑体"/>
                <w:b w:val="0"/>
                <w:bCs w:val="0"/>
                <w:color w:val="auto"/>
                <w:lang w:val="en-US" w:eastAsia="zh-CN"/>
              </w:rPr>
              <w:t>8</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巩固拓展脱贫攻坚成果同乡村振兴有效衔接，开展易返贫致贫人口动态监测预警，对符合条件的纳入监测对象并制定落实帮扶措施，做好帮扶项目资产的监督管理等相关工作。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开展农村人居环境整治和长效管理工作，综合整治农村水系、因地制宜推广卫生厕所和简便易行的垃圾分类，治理农村垃圾和污水，加强乡村无障碍设施建设，持续改善农村人居环境。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b w:val="0"/>
                <w:bCs w:val="0"/>
                <w:lang w:eastAsia="zh-CN"/>
              </w:rPr>
            </w:pPr>
            <w:r>
              <w:rPr>
                <w:rStyle w:val="20"/>
                <w:rFonts w:hint="eastAsia" w:hAnsi="方正公文黑体" w:eastAsia="方正公文黑体"/>
                <w:b w:val="0"/>
                <w:bCs w:val="0"/>
                <w:color w:val="auto"/>
                <w:lang w:eastAsia="zh-CN"/>
              </w:rPr>
              <w:t>七、自然资源（</w:t>
            </w:r>
            <w:r>
              <w:rPr>
                <w:rStyle w:val="20"/>
                <w:rFonts w:hint="eastAsia" w:hAnsi="方正公文黑体" w:eastAsia="方正公文黑体"/>
                <w:b w:val="0"/>
                <w:bCs w:val="0"/>
                <w:color w:val="auto"/>
                <w:lang w:val="en-US" w:eastAsia="zh-CN"/>
              </w:rPr>
              <w:t>9</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落实“四水四定”指标任务，负责农业灌溉工作。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落实饮用水水源地保护责任，组织开展饮用水水源地保护宣传、巡查工作。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b w:val="0"/>
                <w:bCs w:val="0"/>
                <w:lang w:eastAsia="zh-CN"/>
              </w:rPr>
            </w:pPr>
            <w:r>
              <w:rPr>
                <w:rStyle w:val="20"/>
                <w:rFonts w:hint="eastAsia" w:hAnsi="方正公文黑体" w:eastAsia="方正公文黑体"/>
                <w:b w:val="0"/>
                <w:bCs w:val="0"/>
                <w:color w:val="auto"/>
                <w:lang w:eastAsia="zh-CN"/>
              </w:rPr>
              <w:t>八、生态环保（</w:t>
            </w:r>
            <w:r>
              <w:rPr>
                <w:rStyle w:val="20"/>
                <w:rFonts w:hint="eastAsia" w:hAnsi="方正公文黑体" w:eastAsia="方正公文黑体"/>
                <w:b w:val="0"/>
                <w:bCs w:val="0"/>
                <w:color w:val="auto"/>
                <w:lang w:val="en-US" w:eastAsia="zh-CN"/>
              </w:rPr>
              <w:t>10</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开展节能降碳工作，加强民用散煤的管理，推广使用清洁能源、可再生能源。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加强对建设施工和运输的管理，依据职责做好扬尘等大气污染防治相关工作。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做好344国道大湾段环境卫生、道路安全综合整治，督促商户落实“门前三包”责任制，规范管理农贸市场，促进商贸流通，激活沿路经济发展。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b w:val="0"/>
                <w:bCs w:val="0"/>
                <w:lang w:eastAsia="zh-CN"/>
              </w:rPr>
            </w:pPr>
            <w:r>
              <w:rPr>
                <w:rStyle w:val="20"/>
                <w:rFonts w:hint="eastAsia" w:hAnsi="方正公文黑体" w:eastAsia="方正公文黑体"/>
                <w:b w:val="0"/>
                <w:bCs w:val="0"/>
                <w:color w:val="auto"/>
                <w:lang w:eastAsia="zh-CN"/>
              </w:rPr>
              <w:t>九、城乡建设（</w:t>
            </w:r>
            <w:r>
              <w:rPr>
                <w:rStyle w:val="20"/>
                <w:rFonts w:hint="eastAsia" w:hAnsi="方正公文黑体" w:eastAsia="方正公文黑体"/>
                <w:b w:val="0"/>
                <w:bCs w:val="0"/>
                <w:color w:val="auto"/>
                <w:lang w:val="en-US" w:eastAsia="zh-CN"/>
              </w:rPr>
              <w:t>5</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b w:val="0"/>
                <w:bCs w:val="0"/>
                <w:lang w:eastAsia="zh-CN"/>
              </w:rPr>
            </w:pPr>
            <w:r>
              <w:rPr>
                <w:rStyle w:val="20"/>
                <w:rFonts w:hint="eastAsia" w:hAnsi="方正公文黑体" w:eastAsia="方正公文黑体"/>
                <w:b w:val="0"/>
                <w:bCs w:val="0"/>
                <w:color w:val="auto"/>
                <w:lang w:eastAsia="zh-CN"/>
              </w:rPr>
              <w:t>十、文化和旅游（</w:t>
            </w:r>
            <w:r>
              <w:rPr>
                <w:rStyle w:val="20"/>
                <w:rFonts w:hint="eastAsia" w:hAnsi="方正公文黑体" w:eastAsia="方正公文黑体"/>
                <w:b w:val="0"/>
                <w:bCs w:val="0"/>
                <w:color w:val="auto"/>
                <w:lang w:val="en-US" w:eastAsia="zh-CN"/>
              </w:rPr>
              <w:t>8</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落实旅游产业发展规划，支持和发展乡村旅游，讲好本地文化旅游故事。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开展非物质文化遗产的传承、保护、展示、宣传活动，组织李治明、梁建平等非遗传承人开展传习活动。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依托萧关、瓦亭古城历史文化古迹，挖掘整合“古色”资源，编纂瓦亭村史志，挖掘瓦亭民宿，发展特色文化旅游产业，擦亮萧关历史文化名片。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依托牛营村等传统古村落资源，申报实施牛营村传统古村落保护项目，挖掘整理促进优秀传统文化继承和发展。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负责杨岭村生态园、民宿、农家乐、农家旅社打造及运行，发展农事体验、休闲观光等乡村特色旅游，增加群众收入。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_GB2312" w:hAnsi="宋体" w:eastAsia="仿宋_GB2312" w:cs="仿宋_GB2312"/>
                <w:b w:val="0"/>
                <w:bCs w:val="0"/>
                <w:i w:val="0"/>
                <w:snapToGrid w:val="0"/>
                <w:color w:val="000000"/>
                <w:kern w:val="0"/>
                <w:sz w:val="32"/>
                <w:szCs w:val="32"/>
                <w:u w:val="none"/>
                <w:lang w:val="en-US" w:eastAsia="zh-CN"/>
              </w:rPr>
            </w:pPr>
            <w:r>
              <w:rPr>
                <w:rStyle w:val="20"/>
                <w:rFonts w:hint="eastAsia" w:hAnsi="方正公文黑体" w:eastAsia="方正公文黑体"/>
                <w:b w:val="0"/>
                <w:bCs w:val="0"/>
                <w:color w:val="auto"/>
                <w:lang w:eastAsia="zh-CN"/>
              </w:rPr>
              <w:t>十一、卫生健康（</w:t>
            </w:r>
            <w:r>
              <w:rPr>
                <w:rStyle w:val="20"/>
                <w:rFonts w:hint="eastAsia" w:hAnsi="方正公文黑体" w:eastAsia="方正公文黑体"/>
                <w:b w:val="0"/>
                <w:bCs w:val="0"/>
                <w:color w:val="auto"/>
                <w:lang w:val="en-US" w:eastAsia="zh-CN"/>
              </w:rPr>
              <w:t>4</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开展爱国卫生运动和健康促进行动，进行健康教育宣传普及，开展病媒生物防制、禁控烟等工作，加强环境卫生建设。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组织开展预防精神障碍发生、促进精神障碍患者康复、为生活困难家庭提供帮助等工作。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依法依规做好传染病预防和其他公共卫生工作，做好疫情信息的收集报告、人员的分散隔离、公共卫生措施的落实工作，向村民宣传传染病防治的相关知识，防范突发事件的发生。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_GB2312" w:hAnsi="宋体" w:eastAsia="仿宋_GB2312" w:cs="仿宋_GB2312"/>
                <w:b w:val="0"/>
                <w:bCs w:val="0"/>
                <w:i w:val="0"/>
                <w:snapToGrid w:val="0"/>
                <w:color w:val="000000"/>
                <w:kern w:val="0"/>
                <w:sz w:val="32"/>
                <w:szCs w:val="32"/>
                <w:u w:val="none"/>
                <w:lang w:val="en-US" w:eastAsia="zh-CN"/>
              </w:rPr>
            </w:pPr>
            <w:r>
              <w:rPr>
                <w:rStyle w:val="20"/>
                <w:rFonts w:hint="eastAsia" w:hAnsi="方正公文黑体" w:eastAsia="方正公文黑体"/>
                <w:b w:val="0"/>
                <w:bCs w:val="0"/>
                <w:color w:val="auto"/>
                <w:lang w:eastAsia="zh-CN"/>
              </w:rPr>
              <w:t>十二、应急管理及消防（</w:t>
            </w:r>
            <w:r>
              <w:rPr>
                <w:rStyle w:val="20"/>
                <w:rFonts w:hint="eastAsia" w:hAnsi="方正公文黑体" w:eastAsia="方正公文黑体"/>
                <w:b w:val="0"/>
                <w:bCs w:val="0"/>
                <w:color w:val="auto"/>
                <w:lang w:val="en-US" w:eastAsia="zh-CN"/>
              </w:rPr>
              <w:t>4</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安置以及应急知识宣传普及等应急管理工作、社会治安秩序维护和灾后受灾群众生产生活恢复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消防安全责任制，加强对农村消防工作的领导，指导、支持和帮助村委员会开展群众性的消防工作，根据需要建立专职消防队、志愿消防队，承担火灾扑救、应急救援、疏散群众等职能，并开展消防宣传、消防演练、防火巡查、督促隐患整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开展森林草原防火宣传、普及森林草原防火法律法规和避险知识，发挥群防作用。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_GB2312" w:hAnsi="宋体" w:eastAsia="仿宋_GB2312" w:cs="仿宋_GB2312"/>
                <w:b w:val="0"/>
                <w:bCs w:val="0"/>
                <w:i w:val="0"/>
                <w:snapToGrid w:val="0"/>
                <w:color w:val="000000"/>
                <w:kern w:val="0"/>
                <w:sz w:val="32"/>
                <w:szCs w:val="32"/>
                <w:u w:val="none"/>
                <w:lang w:val="en-US" w:eastAsia="zh-CN"/>
              </w:rPr>
            </w:pPr>
            <w:r>
              <w:rPr>
                <w:rStyle w:val="20"/>
                <w:rFonts w:hint="eastAsia" w:hAnsi="方正公文黑体" w:eastAsia="方正公文黑体"/>
                <w:b w:val="0"/>
                <w:bCs w:val="0"/>
                <w:color w:val="auto"/>
                <w:lang w:eastAsia="zh-CN"/>
              </w:rPr>
              <w:t>十三、综合政务（</w:t>
            </w:r>
            <w:r>
              <w:rPr>
                <w:rStyle w:val="20"/>
                <w:rFonts w:hint="eastAsia" w:hAnsi="方正公文黑体" w:eastAsia="方正公文黑体"/>
                <w:b w:val="0"/>
                <w:bCs w:val="0"/>
                <w:color w:val="auto"/>
                <w:lang w:val="en-US" w:eastAsia="zh-CN"/>
              </w:rPr>
              <w:t>10</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对公共场所悬挂的党徽党旗、国徽国旗使用情况开展排查，对不规范使用的行为督促整改。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做好12345热线平台诉求办理，落实督查督办事项和巡视巡察、审计等反馈问题整改。</w:t>
            </w:r>
          </w:p>
        </w:tc>
      </w:tr>
    </w:tbl>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bookmarkStart w:id="4" w:name="_Toc172077552"/>
      <w:bookmarkStart w:id="5" w:name="_Toc172077417"/>
      <w:bookmarkStart w:id="6" w:name="_Toc176767294"/>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7"/>
        <w:gridCol w:w="1814"/>
        <w:gridCol w:w="1814"/>
        <w:gridCol w:w="4842"/>
        <w:gridCol w:w="4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lang w:eastAsia="zh-CN"/>
              </w:rPr>
            </w:pPr>
            <w:r>
              <w:rPr>
                <w:rFonts w:hint="eastAsia" w:ascii="Times New Roman" w:hAnsi="Times New Roman" w:eastAsia="方正公文黑体"/>
                <w:color w:val="auto"/>
                <w:lang w:eastAsia="zh-CN"/>
              </w:rPr>
              <w:t>乡镇</w:t>
            </w:r>
            <w:r>
              <w:rPr>
                <w:rFonts w:ascii="Times New Roman" w:hAnsi="Times New Roman" w:eastAsia="方正公文黑体"/>
                <w:color w:val="auto"/>
                <w:lang w:eastAsia="zh-CN"/>
              </w:rPr>
              <w:t>（</w:t>
            </w:r>
            <w:r>
              <w:rPr>
                <w:rFonts w:hint="eastAsia" w:ascii="Times New Roman" w:hAnsi="Times New Roman" w:eastAsia="方正公文黑体"/>
                <w:color w:val="auto"/>
                <w:lang w:eastAsia="zh-CN"/>
              </w:rPr>
              <w:t>街道）</w:t>
            </w:r>
            <w:r>
              <w:rPr>
                <w:rFonts w:ascii="Times New Roman" w:hAnsi="Times New Roman" w:eastAsia="方正公文黑体"/>
                <w:color w:val="auto"/>
                <w:lang w:eastAsia="zh-CN"/>
              </w:rPr>
              <w:t>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textAlignment w:val="center"/>
              <w:rPr>
                <w:rFonts w:ascii="Times New Roman" w:hAnsi="Times New Roman" w:eastAsia="方正公文黑体"/>
                <w:color w:val="auto"/>
                <w:lang w:eastAsia="zh-CN"/>
              </w:rPr>
            </w:pPr>
            <w:r>
              <w:rPr>
                <w:rStyle w:val="20"/>
                <w:rFonts w:hint="eastAsia" w:hAnsi="方正公文黑体" w:eastAsia="方正公文黑体"/>
                <w:color w:val="auto"/>
                <w:lang w:eastAsia="zh-CN"/>
              </w:rPr>
              <w:t>一、民生服务（</w:t>
            </w:r>
            <w:r>
              <w:rPr>
                <w:rStyle w:val="20"/>
                <w:rFonts w:ascii="Times New Roman" w:hAnsi="方正公文黑体" w:eastAsia="方正公文黑体"/>
                <w:color w:val="auto"/>
                <w:lang w:eastAsia="zh-CN"/>
              </w:rPr>
              <w:t>5</w:t>
            </w:r>
            <w:r>
              <w:rPr>
                <w:rStyle w:val="20"/>
                <w:rFonts w:hint="eastAsia" w:hAnsi="方正公文黑体" w:eastAsia="方正公文黑体"/>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流浪乞讨人员救助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对乡镇上报流浪乞讨人员进行汇总、核查；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对符合条件人员进行救助，对不符合条件人员告知理由。</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发现、上报流浪乞讨人员信息；</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对本辖区有监护人的流浪乞讨人员进行帮扶安置。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开展散居老人能力评估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负责开展社会化养老、特困人员全面核查及探访关怀、散居老人能力评估。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配合组织人员参加评估；</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宣传社会化养老政策。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创业担保贷款审批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会同经办银行对申请人员的项目规模、经营收入、社会保险缴纳、社会信用、负债等情况进行实地考察评估后发放贷款。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离校未就业毕业生、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毕业去向核实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统筹提供就业信息。</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核实</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就业情况；</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在非祭祀点开展祭祀活动的监督管理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1.各部门按照分工职责加强管理，定期开展联合执法活动；</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ascii="Times New Roman" w:hAnsi="Times New Roman" w:eastAsia="方正公文仿宋" w:cs="Times New Roman"/>
                <w:color w:val="auto"/>
                <w:lang w:eastAsia="zh-CN"/>
              </w:rPr>
              <w:t>2.在重点祭祀节日前加强政策宣传。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1.负责辖区内文明祭祀工作的部署、协调、指导；</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napToGrid w:val="0"/>
                <w:color w:val="auto"/>
                <w:kern w:val="0"/>
                <w:sz w:val="21"/>
                <w:szCs w:val="21"/>
                <w:lang w:val="en-US" w:eastAsia="zh-CN"/>
              </w:rPr>
            </w:pPr>
            <w:r>
              <w:rPr>
                <w:rFonts w:ascii="Times New Roman" w:hAnsi="Times New Roman" w:eastAsia="方正公文仿宋" w:cs="Times New Roman"/>
                <w:color w:val="auto"/>
                <w:lang w:val="en-US" w:eastAsia="zh-CN"/>
              </w:rPr>
              <w:t>2.负责对辖区内公共场所进行巡查，配合相关部门开展劝导工作。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二、平安法治（6项）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涉行业部门信访事项办理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县信访局及有关行业部门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1.受理、转送、交办信访事项；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2.协调解决重要信访问题；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3.督促检查重要信访事项的处理和落实；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4.综合反映信访信息，分析研判信访形势，为党委和政府提供决策参考；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5.指导本级其他机关、单位和下级的信访工作；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6.提出改进工作、完善政策和追究责任的建议；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7.承担本级党委和政府交办的其他事项。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县信访联席会议各成员单位：做好各自职责范围内的信访工作，按照规定及时受理办理信访事项，预防和化解政策性、群体性信访问题，加强对下级机关、单位信访工作的指导。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配合行业部门做好人员稳控工作。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eastAsia="zh-CN"/>
              </w:rPr>
            </w:pPr>
            <w:r>
              <w:rPr>
                <w:rFonts w:ascii="Times New Roman" w:hAnsi="Times New Roman" w:eastAsia="方正公文仿宋" w:cs="Times New Roman"/>
                <w:color w:val="auto"/>
                <w:lang w:eastAsia="zh-CN"/>
              </w:rPr>
              <w:t>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防范和处置非法集资</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1.负责协调本级防范和处置非法集资工作，汇总、上报有关工作信息；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2.全面做好非法集资风险排查和监测预警工作，加强政策解读，通报相关形势，统筹做好宣传教育工作，提高防范非法集资宣传教育的针对性、有效性；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3.完成上级部门交办的各项防范和处置非法集资工作。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县公安局：负责对涉嫌非法集资的案件进行立案侦查，依法打击犯罪分子，保护受害者的合法权益。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县市场监督管理局：开展涉嫌非法集资广告资讯信息排查、处理工作。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1.明确负责防范和处置非法集资的工作人员；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2.开展防范非法集资宣传工作；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3.建立健全日常巡查、专项检查、随机抽查和集中排查等多种方式的主动风险排查机制，发现所在区域有涉嫌非法集资行为的，及时上报。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eastAsia="zh-CN"/>
              </w:rPr>
            </w:pPr>
            <w:r>
              <w:rPr>
                <w:rFonts w:ascii="Times New Roman" w:hAnsi="Times New Roman" w:eastAsia="方正公文仿宋" w:cs="Times New Roman"/>
                <w:color w:val="auto"/>
                <w:lang w:eastAsia="zh-CN"/>
              </w:rPr>
              <w:t>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打击传销</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县市场监督管理局：依法查处为传销行为提供经营场所、培训场所、货源储存等条件的行为,对涉嫌犯罪的依法移送公安机关立案侦查。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县公安局：立案侦查传销案件，对经侦查不构成犯罪的，应当依法移交市场监督管理局查处。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1.开展防范非法传销政策宣传，发现问题线索及时上报；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2.协助有关部门查处传销行为。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eastAsia="zh-CN"/>
              </w:rPr>
            </w:pPr>
            <w:r>
              <w:rPr>
                <w:rFonts w:ascii="Times New Roman" w:hAnsi="Times New Roman" w:eastAsia="方正公文仿宋" w:cs="Times New Roman"/>
                <w:color w:val="auto"/>
                <w:lang w:eastAsia="zh-CN"/>
              </w:rPr>
              <w:t>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扫黄打非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县委宣传部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1.传达落实上级文件精神，开展“扫黄打非”进基层宣传工作；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2.制定工作计划，定期召开“扫黄打非”专题会议，研判“扫黄打非”工作新形势；</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3.开展线上线下巡查工作，发现非法有害出版物和不良信息及时向上级“扫黄打非”相关部门汇报并配合执法部门依法查处。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1.负责“扫黄打非”宣传工作；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2.发现问题线索及时上报主管部门。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eastAsia="zh-CN"/>
              </w:rPr>
            </w:pPr>
            <w:r>
              <w:rPr>
                <w:rFonts w:hint="eastAsia" w:ascii="Times New Roman" w:hAnsi="Times New Roman" w:eastAsia="方正公文仿宋" w:cs="Times New Roman"/>
                <w:color w:val="auto"/>
                <w:lang w:val="en-US" w:eastAsia="zh-CN"/>
              </w:rPr>
              <w:t>10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校外培训机构监督管理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县教育体育局：负责查处未取得办学许可证违法经营的机构，并在做好办学许可证审批工作基础上，重点做好培训内容、培训班次、招生对象、教师资格及培训行为的监管工作，牵头组织校外培训市场综合执法。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县文化旅游广电局：做好艺术类校外培训机构的培训业务指导工作。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县市场监督管理局：重点做好相关登记、收费、广告宣传、反垄断等方面的监管工作。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1.将校外培训机构巡查纳入网格员日常工作，发现问题及时劝导制止，并上报给县教育体育局；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2.协助相关部门及时核实投诉举报；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3.协助各行业主管部门开展校外培训机构综合整治。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校园周边安全治理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县教育体育局：指导监督学校依法健全各项安全管理制度。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县公安局：对校园周边出租房屋、宾馆、酒店等重点场所清理整治，落实“护学岗”高峰勤务，配合清理校园周边各类违规培训班、托管班。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县市场监督管理局：负责校园周边经营单位食品安全、产品质量安全的监督管理。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县城乡建设和交通运输局：负责校园周边占道经营违法行为的查处。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1.开展校园周边防火、用水、用电、饮食卫生、交通安全等方面的宣传教育活动；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2.开展未成年人防溺水安全知识宣传，危险水域巡查、管控；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三、乡村振兴（11项）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农产品质量安全监管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1.负责食用农产品从种植养殖环节到进入批发、零售市场或者生产加工企业前的质量安全监督管理；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2.负责兽药、饲料添加剂、农药、肥料等其他农业投入品质量及使用的监督管理；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3.负责动植物疫病防控、畜禽屠宰环节、生鲜乳收购环节质量安全监督管理。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县市场监督管理局：负责对农业流通领域食用农产品经营、食品生产经营活动实施监督管理。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1.开展质量安全控制技术指导服务及培训宣传；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2.发生农产品质量安全事故时，应当及时处理并报上级有关部门。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2.设置临时动物检疫消毒站以及采取隔离、扑杀、销毁、消毒、紧急免疫接种等控制、扑灭措施；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1.宣传动物疫病防治相关知识，加强日常巡查，发现异常情况及时上报；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2.发生重大动物疫情时，协助做好疫情信息的收集工作；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3.组织力量，协助做好疫情信息各项应急处理措施的落实工作。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脱贫小额贷款风险防控</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1.对乡镇上报贷款信息进行系统录入；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2.每月对小额信贷贷款情况进行通报；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1.宣传贷款政策；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2.定期提醒农户按期还款付息。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对集体资产产权引起的争议的处理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1.指导村集体建立村集体资产管理台账，做好资产管理；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2.对村集体资产定期开展审计、审查；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3.对村集体资产产权引起的争议进行调处。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1.建立健全村集体资产管理制度；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2.每年开展一次村集体“三资”清查；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3.配合做好集体资产产权引起的争议的调处工作。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农作物病虫害防治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1.组织开展农作物病虫害监测并及时向上级部门报告监测信息，发布农作物病虫害预报；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2.组织制定本行政区域农作物病虫害预防控制方案，健全农作物病虫害防治体系；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3.为农业生产经营者提供技术培训、指导、服务，指导农业生产经营者选用抗病、抗虫品种等健康栽培管理措施预防病虫害；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1.深入田间地头做好技术宣传培训，指导安全用药，加强“飞防”作业监管等；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2.协助做好农作物病虫害监测预报工作，发现问题及时上报农业农村部门；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畜牧业、渔业生产监管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1.负责畜牧业、渔业生产发展技术的引进，饲草种植和利用技术及动物防疫新技术示范、推广服务工作；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2.负责对畜禽饲养环境、种畜禽质量、畜禽交易与运输、畜禽屠宰以及饲料、饲料添加剂、兽药等投入品的生产、经营、使用的监督管理。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1.开展畜牧业、渔业日常巡查，发现问题及时上报；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县农业农村局：牵头负责农业生产领域安全生产的监督管理，统筹各部门对各类安全生产隐患和违法行为进行查处。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县应急管理局：按照职责对辖区内农业生产领域安全生产工作实施综合监督管理。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县市场监督管理局：负责农业生产领域证照、特种设备的监督管理，对安全隐患和违法行为进行查处。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1.对本辖区大棚房等农业生产领域进行安全检查；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2.发现安全生产隐患和违法行为，对具备处置能力的及时制止，责令限期整改；对拒不整改、存在重大安全隐患等情形的及时上报有关部门。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畜禽私屠滥宰的监督管理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县农业农村局：加强畜禽屠宰质量安全管理，抽查畜禽屠宰经营者是否违法经营，对私屠滥宰行为依法进行处理。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县市场监督管理局：查处市场、餐饮环节销售或使用未经检疫肉类的行为。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县公安局：对涉嫌犯罪的私屠滥宰行为（如非法经营、危害食品安全罪）追究刑事责任。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配合相关部门开展巡查、线索摸排、违法现场保护等工作。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金融帮扶工作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1.积极推进金融帮扶工作，调查核实乡镇上报农户资格并审批备案；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2.积极对接金融机构，落实金融帮扶政策。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国家金融监管总局泾源分局：在业务范围内为乡村振兴提供信贷支持和其他金融服务。</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1.大力宣传金融帮扶政策，提高农户政策知晓率；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2.对需要金融帮扶的农户进行资格审核；</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3.配合做好入户核查、公开公示、资金发放、逾期贷款收缴等工作。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农机安全生产监管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依法履行农机安全生产监管职责，按照职责对存在重大事故隐患的农业机械经营单位和个人加强监督管理。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1.开展农机安全宣传；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2.统计辖区农机驾驶员、车辆数量、证照等基本情况，统计农机作业、农机事故、农机报废更新等基本信息；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3.配合开展农机检审验、农机安全联组规范化建设。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引导购买农业保险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县财政局：制定政策性农业保险实施方案，统筹落实农户购买农业保险，按照相关规定予以补贴。</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县农业农村局：指导乡镇开展农业保险购买情况摸底，统计农业保险购买情况，核实成灾面积和农作物受灾程度，对接保险公司予以赔付。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县林业和草原局：指导乡镇开展经果林农业保险购买情况摸底，统计经果林农业保险购买情况，核实成灾面积和经果林受灾程度，对接保险公司予以赔付。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1.多渠道宣传农业保险的重要性，动员群众积极购买；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2.发生灾情后，调查受灾面积和受灾程度并上报；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四、自然资源（14项）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古树名木的保护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1.对古树名木进行确定、登记、挂牌，发布古树名录；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2.组织专业技术力量对濒危古树名木开展抢救复壮；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1.协助开展古树名木保护宣传活动；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2.组织护林员开展日常巡查，发现攀树、折枝、剥损树皮等情况及时制止，情况严重的及时上报。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1.开展盗伐、滥伐林木日常巡查；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2.发现违法违规行为及时报告县林业和草原局进行处理。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对自然资源卫片监测发现违法行为的监管执法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县自然资源局、县林业和草原局：收到上级卫片图斑信息后，对卫片图斑进行对比甄别、实地查看、系统核实认定，判定是否违法，确定违法建设名单，连同相关资料移交相关执法机构依法查处。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配合自然资源部门和林业和草原局对卫片信息进行实地核查，协助相关执法部门对违法者下达限期整改通知书，对逾期未整改到位的配合做好执法工作。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县自然资源局：负责非农化问题整改。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县农业农村局：负责非粮化问题整改。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1.对耕地和基本农田图斑进行核实，确认违法行为；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2.按时将耕地和基本农田图斑反馈各乡镇，指导督促各乡镇对反馈图斑问题进行现场核实整改，核查上传图斑举证情况；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1.配合核实年度新增设施农用地图斑；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2.配合处置耕地违法占地、用地图斑；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3.配合排查违法违规破坏耕地问题；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4.配合核实年度变更调查耕地流出问题；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5.配合落实耕地保护督查反馈问题整改；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农户私自开垦、占用村集体土地等行为的监管执法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县自然资源局：负责对辖区内耕地利用情况开展摸底排查，对发现或接到举报的非法占用、破坏耕地的行为依法查处。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县林业和草原局：负责对非法破坏林地的行为依法查处。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县农业农村局：负责对非法占用村集体土地建住宅的行为依法进行查处。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1.做好土地政策宣传，开展巡查，发现土地违法问题及时上报；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对非法采砂的监督管理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负责辖区河道采砂的监管工作，对发现的非法采砂行为进行审查认定，并依法查处。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做好日常巡查，发现违法采砂行为及时上报，协助执法与调查取证，开展群众宣传教育。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森林、草原资源监管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2.通过林地草原巡查、各级林长报告、群众反映、护林员上报等方式，发现林草资源破坏、林地退化、草原荒漠化等情况，及时规划生态修复项目；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3.配合上级林业和草原部门做好林草湿资源检查检测；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4.主管本行政区域内草原监督管理工作；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5.根据上一级草原保护、建设、利用规划编制本行政区域的草原保护、建设、利用规划，报本级人民政府批准后实施。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2.发现林草资源破坏、林地退化、草原荒漠化等情况，上报县林业和草原局，及时规划生态修复项目；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3.做好护林员的管理；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林地（草原）、湿地征占用审核审批及监管工作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1.负责林地、湿地征占用、现场查勘、资料审核、审批，对项目实施占用情况进行监督管理；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2.加强日常监管，对发现或接到上报的未按照审核审批面积使用林地、湿地等问题及时进行核查处理。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1.对林地、湿地征占用现场查勘、补偿协商等，对项目实施占用情况进行巡查；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对禁牧期和禁牧区域放牧或者休牧期、轮牧区抢牧、滥牧的排查处置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1.负责本行政区域内禁牧、轮牧、休牧的监督管理工作；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2.划定禁牧区、轮牧区、休牧区；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3.建立巡查制度，对违规放牧行为进行查处；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4.对禁牧、轮牧、休牧区域林地、草地生态植被恢复情况进行动态监测和评估。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 xml:space="preserve">1.通过多种方式宣传禁牧、轮牧、休牧相关法律法规和政策；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2.加强对禁牧区域、休牧期、轮牧区的日常巡查，及时发现并制止抢牧、滥牧等违规行为。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撂荒耕地复垦</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1.负责做好组织动员、督促指导、进度调度、联络协调、核查验收等。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2.审核汇总撂荒耕地台账，总结评估撂荒耕地摸底情况；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3.负责制定撂荒耕地调查摸底工作方案，确定需要复耕复种地块，明确复耕要求，开展培训指导，指导乡镇开展撂荒耕地实地核查工作；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1.宣传撂荒耕地复垦政策；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2.配合全面摸清耕地撂荒底数，查清撂荒原因，建立排查台账并上报；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3.依据撂荒耕地复耕复种有关政策，鼓励有劳动能力的农户自行复耕，引导农户盘活撂荒土地资源，助力农业产业发展。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对木材加工行业的监管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负责查处违法违规经营行为，对非法经营（含加工）木材的行为进行处罚。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1.开展木材加工日常巡查；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2.发现违法违规行为及时报告林业和草原局进行处理。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落实耕地占补平衡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1.认真落实耕地占补平衡，科学储备补充耕地指标；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2.依据项目用地需求，审核是否符合耕地占补平衡要求，对需要落实耕地占补平衡的，对接乡镇落实指标，并督促落实项目占用耕地先补后占原则；</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对占用林地、草地卫片图斑核查处置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36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绿化带养护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开展背街小巷绿化带防灭火、病虫害防治、树木修剪、补植、绿地补水等工作。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1.开展常态化巡查；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五、生态环保（19项）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2.制定工业固体废物污染环境防治工作规划，组织建设工业固体废物集中处置等设施，推动工业固体废物污染环境防治工作；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1.配合生态环境分局对辖区涉危废、固废随意倾倒、处置行为进行全面排查；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2.配合生态环境分局对辖区内的危废、固废问题进行整改；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3.督促辖区存在危废、固废问题的企业按时完成整改。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河流流域水污染治理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固原市生态环境局泾源分局：对涉水企业实施环境执法，配合上级主管部门开展辖区内河流流域的水样监测。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县水务局：做好河流及排水沟管理和保护工作，对检查发现的违法违规行为依法进行查处，并督促整改落实。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1.对水环境保护相关政策进行宣传；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2.对辖区内河流流域开展日常巡查；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4.配合相关部门做好问题整治。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大气污染防治与重污染天气应急处置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1.负责组织编制重污染天气应急预案，建立重污染天气应急减排清单，组织指导工业企业编制重污染天气应急操作方案并审核把关；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2.组织工信、住建、自然资源、农业农村、市场监管、交通运输、公安等部门按照职责分工做好重污染天气应对工作；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3.负责发现重点排污单位的大气污染物排放自动监测设备传输数据异常，及时进行调查。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1.对预警期间辖区内工业企业等单位落实重污染天气应急响应措施情况进行排查，监督企业是否存在偷排现象；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2.做好烟尘、扬尘、煤尘管控，对辖区裸露土地洒水降尘，引导群众采用清洁取暖；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3.发现问题立即制止并及时上报；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4.配合调查处理大气污染环境违法行为。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环保设施运行监管执法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负责对排污者或污染治理运营单位的污染防治环保设施运行情况进行监督检查，对故意不正常使用或擅自拆除、闲置的依法查处。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对辖区内各类生态环境保护设施开展日常巡查并做好记录，对发现的环保设施运行管理问题按规定时限上报生态环境部门处理。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道路移动污染源监测和防控治理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局、县公安局：按照职责分工负责道路移动污染源排放的监测及防控治理工作，建立联合监管常态化机制，对道路移动源尾气进行抽检，对违法违规行为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1.做好政策宣传，对辖区内道路移动污染源开展巡查并做好记录；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2.对发现违法违规问题线索及时上报有关部门，配合做好联合治理相关工作。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扬尘综合治理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自然资源等部门：按照职责分工，负责工业企业、建筑工地、矿山、道路运输等行业领域扬尘日常监管和综合治理，监督相关行业领域相关单位落实扬尘防治措施，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统筹网格监管力量，对辖区内扬尘源头情况开展日常巡查，配合部门监督建筑工地、道路运输、矿山开采等相关单位落实扬尘防治措施，发现违法违规行为按规定时限上报有关部门，协助做好扬尘治理整改落实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VOCs污染深度治理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农业农村等部门：按照职责分工牵头开展摸底调查，持续推进化工行业、涂装行业、机动车、农业农村生活源VOCs治理，制定源头消减、过程控制、末端治理全过程防控计划与方案并组织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1.配合部门对辖区内重点区域、重点行业VOCs排放情况开展巡查并做好记录；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2.对发现的疑似问题和隐患线索，按规定时限上报有关部门处理。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突发环境污染事件应急处置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负责制定突发环境事件应急预案，明确组织指挥机制、信息报告、应急处置措施等内容，并在发生突发环境事件时立即启动应急响应。</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1.发现突发环境事件后，及时上报，并根据应急预案积极响应；</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2.做好突发环境污染事件的先期处置工作。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1.对规模养殖场畜禽粪污资源化利用开展检查和指导，对规模养殖场粪污处理设施运行情况进行日常监管；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2.组织养殖户和企业实施粪污处理和资源化利用项目，通过项目支持提高粪污处理水平和能力；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1.宣传粪污处理及资源化利用相关政策；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2.配合农业农村部门督促养殖户和企业实施粪污处理和资源化利用项目；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3.对粪污处理及台账记录情况进行检查；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4.对检查发现的问题及时上报。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对工业噪声、建筑施工噪声、社会生活、交通运输噪声污染的监管执法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固原市生态环境局泾源分局：建立协调机制，按照职责分工对工业噪声污染、建筑施工噪声污染、交通运输噪声污染、社会生活噪声污染的行为进行认定。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1.发现或收到群众举报噪音扰民问题及时劝告制止；</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2.经劝告制止无效的上报生态环境、公安等主管部门；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3.配合做好相关执法工作，开展群众走访、现场确认等。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做好水土保持相关工作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1.负责辖区内水土保持工作的监督检查、水土保持方案审批等行政执法工作；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2.开展水土流失综合治理工作；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3.配合税务部门催缴水土保持补偿费。</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1.加强水土保持宣传和教育工作，普及水土保持科学知识，增强公众的水土保持意识；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2.配合水务部门督促本辖区内实施的建设项目编制水土保持方案，对辖区内造成水土流失的行为进行监督；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3.协助完成本辖区内水土流失综合治理，推行“山水林田”统一规划、“梁峁沟坡塬”一体整治模式，实施沟道、山林等治理。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河道“四乱”问题整治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1.组织开展河流管理保护监督管理，不断完善河流保护综合执法体系建设，强化河长制监管能力和水平；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2.加大违法违规行为的打击力度，开展河流管理保护突出问题专项整治，严厉打击涉河违法行为，清理整治非法排污、设障、捕捞、养殖、采砂、采矿、围垦、侵占水域岸线等活动。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1.发现河道乱占、乱采、乱堆、乱建等问题及时上报；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2.协助水务部门开展涉河违法取证工作；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3.配合做好协调清退、拆除等工作。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1.对辖区内的河道进行定期不定期检查；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2.对存在河道四乱问题进行督查通报；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1.接受上级传达的违法图斑信息；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2.根据经纬度坐标实地考察；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3.与当事人联系对违法图斑进行整改，对拒不整改的报上级水务部门。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生态安全重点部位检查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1.加强对乡镇生态环保方面的指导、培训；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2.对乡镇上报的问题隐患、线索等情况及时核实，组织各相关主管部门进行查处，并督促整改落实。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1.宣传普及环境保护知识，提高企业和公众的环保意识；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2.对辖区内易产生污染的场所进行定期检查，确保环保设施正常运行；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3.对检查中发现的问题进行分类汇总，建立问题台账，并及时上报生态环境分局；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4.协助各部门开展调查和处理工作。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对生活污水、化粪池安全检查及违法行为的整治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固原市生态环境局泾源分局：负责环保监管和水质监测。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县城乡建设和交通运输局：督促物管小区的物业企业对小区化粪池安全问题开展巡查，发现问题及时处置。</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协助对生活污水、化粪池开展安全巡查检查。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生态公益林管护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1.设置管护标识，限制人员和牲畜随意进入，减少人为干扰和破坏；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2.安排专人定期巡护，及时发现并处理火灾隐患、盗伐、病虫害等问题，同时对森林资源状况进行监测；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3.对林分稀疏或受损区域进行合理的补植，增加森林覆盖率和生态功能；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4.适时进行抚育间伐、修枝整形等，促进林木生长，提高林分质量；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5.开展相关科研项目，探索更好的管护方法和技术，同时加强公众的生态教育，增强保护意识；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6.定期对生态公益林资源进行调查统计，建立完善档案资料，为科学管理提供依据；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7.加强与相关执法部门合作，严厉打击破坏生态公益林的违法违规行为。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配合对辖区内公益林进行日常巡护，发现违法违规行为及时制止并上报。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“散乱污”企业治理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1.落实长效监管机制，持续开展“回头看”，巩固“散乱污”企业清零成效，坚决杜绝“散乱污”企业死灰复燃，确保“散乱污”企业整治动态清零；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2.持续开展辖区内“散乱污”企业排查工作，在摸排中发现的新增“散乱污”企业，严格按照整治标准开展治理工作。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1.查处企业超标排放、偷排漏排、未批先建等环境违法行为；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2.对不符合环保要求的企业责令整改或关停；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3.监督企业落实污染治理设施升级改造。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1.配合相关部门对辖区“散乱污”企业进行排查；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2.配合相关部门对辖区内“散乱污”企业问题进行整改。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噪音污染综合整治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固原市生态环境局泾源分局：对群众反映的噪音扰民问题进行督导整改，对违法行为依法进行立案查处。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在城区噪声敏感建筑物集中区域内使用高音广播喇叭或者违反当地公安机关的规定，在城区街道、广场、公园等公共场所组织娱乐、集会等活动，使用音响器材，产生干扰周围生活环境的过大音量的由公安机关进行立案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对违法行为人进行批评教育、责令限期改正，对拒不整改的及时向上级部门报告。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55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餐饮服务业环境污染防治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1.负责本辖区的餐饮服务业环境污染防治监督管理；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2.对污染源及生态环境污染行为进行执法监督管理；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3.对违法行为监督管理，发现违法行为予以查处。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1.开展餐饮服务业环境污染防治相关政策宣传；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2.督促餐饮企业复装、使用、维护油烟净优设备；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3.对拒不整改的经营单位上报主管部门。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snapToGrid w:val="0"/>
                <w:color w:val="auto"/>
                <w:kern w:val="0"/>
                <w:sz w:val="21"/>
                <w:szCs w:val="21"/>
                <w:lang w:val="en-US" w:eastAsia="zh-CN"/>
              </w:rPr>
            </w:pPr>
            <w:r>
              <w:rPr>
                <w:rStyle w:val="20"/>
                <w:rFonts w:hint="eastAsia" w:hAnsi="方正公文黑体" w:eastAsia="方正公文黑体"/>
                <w:color w:val="auto"/>
                <w:lang w:val="en-US" w:eastAsia="zh-CN"/>
              </w:rPr>
              <w:t>六、城乡建设（17项）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1.牵头负责燃气领域安全生产监督管理，统筹各行业部门开展各自行业领域燃气安全隐患排查整治工作，对各类燃气安全隐患和违法行为进行查处；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2.督促燃气经营企业落实燃气设施定期巡检维护、入户安检等安全生产职责；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3.依法查处未取得燃气经营许可证从事生产经营活动的行为，落实燃气安全设施定期检查制度。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1.负责燃气充装、检验检测机构的监督管理，监督燃气充装单位对气瓶进行定期检验和报废处理；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2.负责城镇燃气领域特种设备安全监管；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3.负责生产、销售环节燃气燃烧器具和燃气相关产品质量监管，依法查处制售假冒伪劣产品的违法行为；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4.依法处理操纵燃气市场价格、垄断、不正当竞争等扰乱市场秩序的行为。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县应急管理局：依法对液化石油气、液化天然气生产企业实施安全监管，对不具备安全生产条件的生产企业依法查处。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1.协调村民委员会配合燃气经营企业进行入户安全检查；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1.负责指导农房建设管理，负责农房（抗震房）设计图集编制推广、指导建设质量安全管理、指导隐患排查整治、开展乡村建设工匠管理等工作；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1.负责辖区内农房规划建设使用管理工作，包括乡村建设规划许可、宅基地审批、建设工程监管、使用过程管控、违法违规行为核查上报处置以及安全隐患排查整治和房屋安全宣传等工作；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2.组织开展农村危房改造、农房抗震改造的排查上报、申请公示、资料审核、系统录入等工作；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3.指导所辖村将农房建设行为规范纳入村规民约，做好农房建设质量安全管理工作。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2.制定和完善应急预案，落实应急值班值守，优化应急抢险救灾力量布局。在汛期，需要保障重点物资运输畅通有序，及时有效应对突发事件。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1.对重大风险点排查，对确定的风险点建立风险台账；</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2.监视雨情、汛情发展变化趋势，按要求及时发布公路预警信息；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3.协助相关部门做好“小雨关注、中雨巡查、大雨值守、暴雨管控”、积水处置等工作。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1.提供政策依据；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2.对河道、水源、堤坝、水库等涉水设施的建设、维护；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3.提供必要的物资保障。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2.开展日常巡查巡护；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4.对能力范围内的隐患进行化解。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农村饮水安全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1.针对人饮工程情况制定可行性供水方案；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2.实施农村饮水安全巩固提升工程，更换改造铺设管道、新建阀井、管道穿渠等；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3.进行人饮工程施工及运行管理；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4.监督水站规范运行。</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1.开展农村饮用水情况调查；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2.配合第三方统计自来水存在问题并按照要求完成整改；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3.宣传冬季自来水防冻工作；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r>
              <w:rPr>
                <w:rFonts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开展土地现状调查，拟定征地补偿安置方案；</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征求被征收土地所有权人的意见；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发布土地征收公告；</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4.</w:t>
            </w:r>
            <w:r>
              <w:rPr>
                <w:rFonts w:hint="eastAsia" w:ascii="Times New Roman" w:hAnsi="Times New Roman" w:eastAsia="方正公文仿宋" w:cs="Times New Roman"/>
                <w:color w:val="auto"/>
                <w:lang w:val="en-US" w:eastAsia="zh-CN"/>
              </w:rPr>
              <w:t>对拟征收土地开展勘测定界；</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5.</w:t>
            </w:r>
            <w:r>
              <w:rPr>
                <w:rFonts w:hint="eastAsia" w:ascii="Times New Roman" w:hAnsi="Times New Roman" w:eastAsia="方正公文仿宋" w:cs="Times New Roman"/>
                <w:color w:val="auto"/>
                <w:lang w:val="en-US" w:eastAsia="zh-CN"/>
              </w:rPr>
              <w:t>签订征地补偿安置协议；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6.</w:t>
            </w:r>
            <w:r>
              <w:rPr>
                <w:rFonts w:hint="eastAsia" w:ascii="Times New Roman" w:hAnsi="Times New Roman" w:eastAsia="方正公文仿宋" w:cs="Times New Roman"/>
                <w:color w:val="auto"/>
                <w:lang w:val="en-US" w:eastAsia="zh-CN"/>
              </w:rPr>
              <w:t>按时发放土地征收补偿款。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协助相关部门开展土地现状调查、公告、听取被征收土地所有权人意见；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组织土地所有权人、使用权人与相关部门签订征地补偿协议；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自建房安全检查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1.加强自建房监管，牵头组织开展专项整治工作，排查自建房结构安全问题；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2.建设城镇房屋、农村房屋综合管理信息平台，推进信息共享，建立健全全链条监管机制；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3.做好危旧房屋整治工作。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1.组织各村对全乡镇房屋进行初步排查，对可见的裂缝等问题隐患进行梳理，并建立台账；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2.对排查中发现的疑似危房，采取初步管控措施；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4.配合住建部门做好房屋等级鉴定；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5.根据住建部门反馈的专业鉴定报告，建立完善隐患台账；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农村公路的养护监管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1.负责农村公路新改建及大修养护工程；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2.负责县道的养护工作，具体包括：道路巡查、路面及桥面保洁、路肩边坡水毁处置及蒿草修剪，行道树、桥梁、涵洞、交安设施刷新刷白等工作；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3.负责县道管理工作，具体包括：乡村道路及其沿线设施的管护，制止各种侵占、损坏公路、公路用地、公路附属设施的违法行为；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1.做好辖区乡道日常巡查，对发现的隐患问题及时上报；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1.对本辖区建筑施工领域进行安全检查；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县教育体育局：牵头制定划转方案，审核闲置校舍的权属、面积、用途等基础信息。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县自然资源局：核实土地性质，指导土地用途合规性。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1.现场查看闲置校舍、校田；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2.上报查看信息。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对建设单位和个人未经批准进行临时建设、未按照批准内容进行临时建设、临时建筑物、构筑物超过批准权限不拆除的处置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县城乡建设和交通运输局：对住宅小区内建设单位和个人未经批准进行临时建设等行为进行认定，确认违法行为，按照法律程序进行行政处罚。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县自然资源局：对建设单位和个人未经批准进行临时建设等行为进行认定，确认违法行为，对违法行为立案查处或将线索移交赋权的执法部门查处。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1.进行日常巡查；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2.对巡查发现或群众举报的线索进行汇集并及时上报；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3.配合相关单位对违法问题进行处置。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闲置宅基地盘活利用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县农业农村局：负责农村宅基地改革和管理工作，建立健全宅基地分配、使用、流转、违法用地查处等管理制度，指导宅基地合理布局，闲置宅基地闲置农房利用，备案登记农村宅基地使用权流转。</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县自然资源局：负责在国土空间规划中统筹安排宅基地用地规模和布局，依法办理农用地转用审批和规划许可等相关手续。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1.摸排闲置宅基地和闲置农房信息；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“门前三包”责任制落实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1.加强对商户的宣传，引导沿街商户自觉遵守“门前三包”管理规定，强化商家主体责任意识；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2.对商户落实“门前三包”责任制度进行不定期抽查，发现存在乱堆乱放、乱张贴、占道经营等市容问题及时通报给乡镇，督促商户立即整改；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3.违法情形上报。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高空作业隐患整治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县城乡建设和交通运输局：负责建筑、交通运输、市政管理、园林绿化领域高空作业隐患整治。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县应急管理局：负责危险化学品领域及工贸领域高空作业隐患整治。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县发展改革和科学技术局：负责电力行业隐患整治。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县工业信息化和商务局：负责通信行业、商贸服务行业隐患整治。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经营场所存在“双气源”的排查整治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对经营场所存在“双气源”的进行摸排上报。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“黑气瓶”“双嘴瓶”排查整治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查处“黑气瓶”贩子等液化气行业违法违规行为，禁止使用、回收50公斤液化石油气“双嘴瓶”“黑气瓶”。</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摸排辖区液化气使用情况，发现“黑气瓶”“双嘴瓶”后及时上报。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1.全面推进“四好农村路”高质量发展，负责县级农村公路建设和管理，拟定全县农村公路发展中长期规划、计划并组织实施；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负责本辖区内农村公路的管理、养护及路域环境治理。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七、文化和旅游（1项）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1.负责旅游业的指导、协调、管理、服务和监督工作；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2.对旅游资源进行普查、评估、登记、建立旅游资源信息库；</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3.会同有关部门负责指导、协调、监督旅游资源的保护、开发和利用；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4.保障旅游用地，完善旅游宣传推广体系，发展旅游项目，推动旅游产业发展与新型工业化、信息化、城镇化和农业现代化相结合，推动观光、休闲、度假旅游协同发展；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5.制定旅游突发事件应急预案，加强旅游安全监管。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1.对农家乐等提供餐饮服务的场所，要求取得食品经营许可证，落实食品安全管理制度；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2.景区内涉及特种设备（如索道、游乐设施）的，需符合安全技术规范并定期检验。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县应急管理局：要求旅游场所和农家乐制定安全生产事故应急预案，并定期组织演练。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1.负责协助旅游资源开发保护，协助编制、评估和落实旅游发展有关规划；</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3.协助保障落实旅游用地，积极开发旅游业态、旅游项目；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4.负责做好相关安全生产应急预案工作和旅游市场安全生产与管理工作。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八、卫生健康（2项）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病死动物无害化处理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负责本行政区域病死畜禽和病害畜禽产品无害化处理的监督管理工作；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对江河、湖泊、水库等水域发现的死亡畜禽组织收集、处理并溯源。</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做好辖区病死动物无害化处理宣传、信息报送工作；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对辖区内发现的死亡畜禽进行组织收集、处理并溯源。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新生儿在医疗卫生机构以外地点死亡的核查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对乡镇上报信息进行核查；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将核实结果上报上级部门。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发现新生儿在医疗卫生机构以外地点死亡的，及时上报相关信息。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九、应急管理及消防（15项）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森林草原火灾隐患排查和火灾扑救</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景区管理机构</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部门：按照职责分工负责县域内森林草原火灾预防，开展防火巡护、火源管理、日常检查、宣传教育、防火设施建设和火情早期处理等工作，发现问题下达森林草原火灾隐患整改通知书，责令限期整改、消除隐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县应急管理部门：按照分级负责原则，指导森林草原火灾处置工作。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国有林场、景区管理机构：负责本辖区森林草原防火的宣传教育，组建队伍进行林场巡查，加强火种、火源的管理，定期进行巡查及隐患排查，发现或接到群众报告火情后，立即组织扑救并上报。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1.负责辖区林草防火的宣传教育，组织参加防灭火知识培训；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2.对辖区森林草原防火区进行巡查，发现或接到群众举报火灾隐患及时消除，出现火情第一时间上报有关部门；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3.在火势较小、保证安全的前提下，先行组织进行初期扑救。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应急广播系统（平台）建设和管理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县文化旅游广电局：负责对应急广播系统建设检查考核、项目验收、施工建设等工作进行督导检查。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1.负责应急广播系统建设技术方案的制定；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2.负责应急广播系统建设项目的工程招标、组织实施、调度督导、检查考核、项目验收工作及应急广播管理平台日常运行和维护。</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1.负责做好本乡镇、辖区各行政村专用机房配备及设备安装工作，并安排专人负责应急广播设备日常管理工作等事宜；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2.负责应急广播系统项目建设中涉及到的布设杆路的协调工作。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电动车安全监督管理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开展电动自行车违规停放、违规充电专项整治行动，明确整治内容、整治范围，提供技术支持，对违法违规行为进行查处。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1.宣传电动车安全知识；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2.指导发挥网格员作用，对建筑管理单位、村民委员会发现上报的违法违规行为进行劝阻、制止，责令改正，制止未果的及时上报主管部门；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3.配合开展电动自行车违规停放、违规充电专项整治。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地质灾害防治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1.负责组织、协调、指导和监督地质灾害防治工作；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2.会同住建和交通、水务等部门依据地质灾害防治规划，拟定年度地质灾害防治方案；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3.结合地质环境状况组织开展地质灾害调查；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4.会同气象部门发布地质灾害预报；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5.及时划定地质灾害危险区并公告，设置明显警示标志；</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6.会同住建和交通、水务部门拟定地质灾害应急预案。</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1.组织开展地质灾害防治工作，对划定的地质灾害区开展日常实地巡回检查，发现疑似新增地质灾害隐患点及时上报；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2.组织做好紧急情况下的临灾避险工作，发现地质灾害灾（险）情前兆时，及时采取防范措施，并向上级人民政府和自然资源部门报告；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3.开展防灾减灾知识的宣传工作，对地质灾害隐患点组织开展应急避险演练；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1.组织协调开放行业部门管理的应急避难场所；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2.及时协调调度应急物资保障临时安置群众生活所需；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3.按规定做好符合条件的特殊困难群众救济救助工作。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1.根据乡镇上报的房屋安全排查情况，组织第三方检测机构开展鉴定，并将鉴定结果及时反馈相关部门和乡镇；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县市场监督管理局：根据房屋鉴定结果，对鉴定为C、D级房屋的营业场所协助住建部门进行临时关停。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县民政和退役军人事务局：对经灾害救助过渡期满三个月后，基本生活仍困难的群众给予救助。</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1.开放本级及村级应急避难场所，启用应急设施设备，安置和管理受灾群众，管理救灾物资；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2.根据上级部门反馈的房屋鉴定结果，对鉴定为C级房屋且具备条件的，动员群众进行加固，对鉴定为D级房屋的劝导群众搬离；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3.配合上级住建、市场监管部门做好政策宣传和群众思想工作；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4.配合做好危房加固、临时住房保障性住房政策落实以及困难群众的救济救助工作。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对占用、堵塞、封闭疏散通道、安全出口或者有其他妨碍安全疏散行为的排查处置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各类场所进行消防监督检查，依法查处占用、堵塞、封闭疏散通道、安全出口等消防违法行为；对可能严重威胁公共安全的危险部位或者场所予以临时查封；指导单位和乡镇开展消防安全宣传教育和培训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县应急管理局：综合协调各部门开展相关排查整治工作，督促各部门落实安全监管责任；对生产经营单位存在的妨碍安全疏散等违法行为进行查处，对重大安全隐患进行挂牌督办。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建设工程的疏散通道、安全出口等消防设计进行审查和验收，确保新建、改建、扩建工程符合消防安全要求；指导和监督物业服务企业做好物业管理区域内的消防安全管理工作，督促物业服务企业对疏散通道、安全出口进行日常巡查和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县工业信息化和商务局：对商场、餐饮、住宿等商贸服务业进行监督检查，督促经营者保持疏散通道、安全出口畅通。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县市场监督管理局：依法查处销售不合格消防产品的行为，配合相关部门开展消防安全专项整治。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县公安局：公安派出所对辖区内的“九小场所”等进行消防监督检查，查处占用、堵塞、封闭疏散通道、安全出口等违法行为；配合消防救援部门开展灭火救援和应急处置工作，维护现场秩序。</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 xml:space="preserve">1.向社会广泛宣传消防安全知识，引导群众共同维护疏散通道、安全出口畅通；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2.对公共场所开展消防隐患排查，及时制止违法行为发生，并向执法部门通报；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3.对排查出的隐患问题，协助县级部门督促整改，对难以整改的问题及时上报。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对占用、堵塞、封闭消防车通道、妨碍消防车通行的排查处置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县消防救援大队：开展消防监督检查，责令改正占用等违法行为；对拒不改正的，强制清理障碍物，并视情节轻重给予处罚。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县城乡建设和交通运输局：监督建设单位按标准设置消防车通道；督促物业服务企业履行消防车通道管理维护责任。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1.对消防车通道开展日常排查；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3.协助县级部门督促整改违法行为；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4.及时向县级部门反馈排查整治情况。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对人员密集场所在门窗上设置影响疏散逃生和灭火救援的障碍物的排查处置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县消防救援大队：负责对人员密集场所进行消防监督检查，依法查处门窗设置障碍物的违法行为；对存在的问题责令限期改正，拒不改正的给予行政处罚；指导单位开展消防演练。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县城乡建设和交通运输局：在建设工程消防设计审查验收中，严格把关人员密集场所门窗设计是否符合疏散逃生和灭火救援要求；督促物业服务企业对管理区域内人员密集场所的相关情况进行巡查和报告。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县应急管理局：综合协调各部门开展隐患排查整治工作。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1.配合执法部门组织执法人员、网格员等对人员密集场所进行排查；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2.向人员密集场所经营者和从业人员宣传相关法律法规和消防安全知识；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3.对排查出的问题，协助县级执法部门做好整改工作，上报整改情况。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对在高层民用建筑的公共门厅、疏散走道、楼梯间、安全出口停放电动自行车或者为电动自行车充电，拒不改正的排查处置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县消防救援大队：负责对高层民用建筑进行消防监督检查，依法查处违规停放、充电行为；责令存在问题的单位和个人限期改正，对拒不改正的实施行政处罚；对因违规行为引发火灾事故的，进行火灾事故调查。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业服务企业履行消防安全管理职责，对电动自行车违规停放、充电行为进行巡查和劝阻；在建设工程消防设计审查验收中，严格把关相关设施的设计和建设是否符合消防安全要求。</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2.对高层民用建筑进行日常监督检查，及时发现违规行为并记录；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3.对发现的违规行为，督促当事人立即整改，拒不改正的及时上报执法部门。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对商贸流通领域开展安全生产检查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县工业信息化和商务局：按照职责指导、督促商场、餐饮、住宿等商贸服务业（不含“九小”场所）的安全生产管理工作，协调、配合相关部门开展商贸流通领域安全隐患排查整治等工作。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小型商场、超市（供销系统除外）、小型餐饮住宿场所（星级酒店除外），以及村组织建设或产权所有的各类商贸流通领域生产经营单位（含集贸市场、农村集市）进行日常安全隐患排查整治，发现安全生产隐患和违法行为应及时制止、限期整改，并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“九小”场所安全监管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县市场监督管理局等负有安全生产监管职责相关部门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县消防救援大队、县应急管理局、县公安局、县城乡建设和交通运输局、县工业信息化和商务局、县市场监督管理局等相关部门按照职责分工负责：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1.建立县乡联动执法工作机制，制定年度综合检查工作计划并组织实施；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2.对检查中发现的安全生产违法行为，当场予以纠正或者要求限期改正；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3.对依法应当给予行政处罚的行为，依照有关法律法规的规定作出行政处罚决定。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1.落实乡镇吹哨、部门报到工作机制，组织协调辖区执法力量及网格员队伍对辖区“九小”场所开展安全隐患排查，实施“综合查一次”；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2.对排查出的问题建立台账并将有关情况上报，督促相关单位及时整改；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县发展改革和科学技术局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开展冬季安全取暖宣传工作，摸排辖区内使用煤烟取暖的住户，配合有关部门对安全隐患进行排查整改。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县应急管理局：负责冶金、有色建材、机械、轻工、纺织、烟草等工贸企业安全监管，对安全生产隐患和违法行为进行查处。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县工业信息化和商务局：负责工贸企业、小生产加工企业、小作坊等生产经营单位安全生产的监督管理，对安全生产隐患和违法行为进行查处。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县市场监督管理局：负责工贸企业、小生产加工企业、小作坊等生产经营单位证照、特种设备的监督管理，对食品安全隐患、产品质量安全隐患和违法行为进行查处。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县城乡建设和交通运输局：配合工业信息化和商务部门对工贸企业、小生产加工企业、小作坊等生产经营单位建筑安全、消防验收备案的监督管理，对安全隐患和违法行为进行查处。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1.对本辖区工贸企业、小生产加工企业、小作坊等生产经营单位安全防护措施进行安全检查；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3.对拒不整改、存在重大安全隐患等情形及时上报有关责任单位。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对辖区大型群众性活动和重要时期的安全监管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县公安局：审批承办者递交的大型群众性活动申请；做好大型群众性活动的安全管理。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县应急管理局：监督活动承办方落实安全生产主体责任，检查应急预案和演练情况；指导协调活动中的应急救援工作。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县消防救援大队：对活动场所的消防设施、电气线路、疏散通道等进行安全检查；活动期间派驻消防车辆和人员备勤。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县文化旅游广电局：对营业性演出、旅游节庆活动等涉及文化领域的活动进行行业安全指导。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1.做好本辖区举办的大型群众性活动和重要时期的安全隐患排查，对具备处置能力的及时制止，责令限期整改，对拒不整改、存在重大安全隐患等情形及时上报；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2.做好辖区内重点人群管控等社会面稳控工作；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3.组织人员维护活动秩序，在指定区域内做好安保值守工作；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4.按照活动预案安排，及时做好突发事件应对处置。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90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烟花爆竹的安全监管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县应急管理局：负责本辖区内烟花爆竹经营、储存的安全监督管理工作。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县市场监督管理局：负责烟花爆竹的质量监督管理。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开展日常巡查，发现烟花爆竹违法违规生产经营行为及时制止并上报。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十、市场监管（4项）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91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县市场监督管理局：负责对食品生产经营活动实施监督管理。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县卫生健康局、县农业农村局、县工业信息化和商务局、县城乡建设和交通运输局、固原市生态环境局泾源分局等部门：依照各自的工作职责，做好食品安全监督管理工作。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1.加强食品安全宣传教育，普及食品安全知识，倡导健康的饮食方式，登记备案农村集体聚餐并上报，增强消费者食品安全意识和自我保护能力；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2.配合开展辖区食品、食用农产品安全监督检查。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92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食品安全分级包抓管理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组织实施食品安全风险防控、隐患排查和专项治理。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1.协助行业主管部门对包保食品生产经营主体进行督导；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2.建立台账资料。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93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1.对集体聚餐食品安全工作进行业务指导，加强对加工制作人员的食品安全知识培训；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2.加强监督检查，重点对农村集体聚餐食品食材进行检查，提醒消费者和食品经营者隔离储存非食用原料及危险化学品与食品；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3.接到食品安全事故的报告后，立即会同卫生、农业以及属地乡镇进行调查处理，开展应急救援工作。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1.指导医疗机构做好食品安全事故的医疗救治、流行病学调查和卫生学处置；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1.负责农村集体聚餐信息收集、登记备案、情况上报；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2.按要求进行现场指导；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3.负责农村食品安全协管员以及农村集体聚餐厨师的建档、管理等工作；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4.协助处置食品安全突发事件。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94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对商铺和流动摊点占道经营、无照无证经营行为的监管执法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县城乡建设和交通运输局：负责商铺和流动摊点占道经营的监督管理，负责职责范围内许可事项的监督管理。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县市场监督管理局：负责查处商铺的无照经营及市场监管部门职责范围许可事项的监督管理。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县公安局：负责查处治安方面及涉及公安职责范围内许可事项的监督管理。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县卫生健康局：负责职责范围内许可事项的监督管理和查处违法违规行为。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对辖区内商铺和流动摊点占道经营情况进行日常巡查，发现不法经营行为信息及时报告有关部门处理。</w:t>
            </w:r>
          </w:p>
        </w:tc>
      </w:tr>
    </w:tbl>
    <w:p>
      <w:pPr>
        <w:rPr>
          <w:rFonts w:ascii="Times New Roman" w:hAnsi="Times New Roman" w:eastAsia="等线" w:cs="Times New Roman"/>
          <w:lang w:eastAsia="zh-CN"/>
        </w:rPr>
      </w:pPr>
    </w:p>
    <w:p>
      <w:pPr>
        <w:pStyle w:val="2"/>
        <w:rPr>
          <w:rFonts w:ascii="Times New Roman" w:hAnsi="Times New Roman" w:eastAsia="等线" w:cs="Times New Roman"/>
          <w:lang w:eastAsia="zh-CN"/>
        </w:rPr>
      </w:pPr>
    </w:p>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spacing w:val="7"/>
          <w:lang w:eastAsia="zh-CN"/>
        </w:rPr>
      </w:pPr>
      <w:bookmarkStart w:id="8" w:name="_Toc176767295"/>
      <w:bookmarkStart w:id="9" w:name="_Toc172077418"/>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6"/>
        <w:gridCol w:w="4990"/>
        <w:gridCol w:w="8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blHeader/>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序号</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黑体" w:cs="Times New Roman"/>
                <w:lang w:eastAsia="zh-CN"/>
              </w:rPr>
            </w:pPr>
            <w:r>
              <w:rPr>
                <w:rStyle w:val="20"/>
                <w:rFonts w:ascii="Times New Roman" w:hAnsi="Times New Roman" w:eastAsia="方正公文黑体" w:cs="Times New Roman"/>
                <w:color w:val="auto"/>
                <w:lang w:eastAsia="zh-CN"/>
              </w:rPr>
              <w:t>一</w:t>
            </w:r>
            <w:r>
              <w:rPr>
                <w:rStyle w:val="20"/>
                <w:rFonts w:ascii="Times New Roman" w:hAnsi="Times New Roman" w:eastAsia="方正公文黑体" w:cs="Times New Roman"/>
                <w:b w:val="0"/>
                <w:bCs w:val="0"/>
                <w:color w:val="auto"/>
                <w:lang w:eastAsia="zh-CN"/>
              </w:rPr>
              <w:t>、平安法治（</w:t>
            </w:r>
            <w:r>
              <w:rPr>
                <w:rStyle w:val="20"/>
                <w:rFonts w:ascii="Times New Roman" w:hAnsi="Times New Roman" w:eastAsia="方正公文黑体" w:cs="Times New Roman"/>
                <w:b w:val="0"/>
                <w:bCs w:val="0"/>
                <w:color w:val="auto"/>
                <w:lang w:val="en-US" w:eastAsia="zh-CN"/>
              </w:rPr>
              <w:t>1</w:t>
            </w:r>
            <w:r>
              <w:rPr>
                <w:rStyle w:val="20"/>
                <w:rFonts w:ascii="Times New Roman" w:hAnsi="Times New Roman" w:eastAsia="方正公文黑体" w:cs="Times New Roman"/>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县城乡建设和交通运输局：按照工作要求，开展摩托车、人力三轮车、残疾人机动轮椅及装配动力装置的无牌无证车辆管理整治工作。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二、乡村振兴（</w:t>
            </w:r>
            <w:r>
              <w:rPr>
                <w:rStyle w:val="20"/>
                <w:rFonts w:ascii="Times New Roman" w:hAnsi="Times New Roman" w:eastAsia="方正公文黑体" w:cs="Times New Roman"/>
                <w:b w:val="0"/>
                <w:bCs w:val="0"/>
                <w:color w:val="auto"/>
                <w:lang w:val="en-US" w:eastAsia="zh-CN"/>
              </w:rPr>
              <w:t>2项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铁杆庄稼保、乡村振兴“健康保”、“百姓保”、惠民保等保险收缴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县人力资源和社会保障局、县农业农村局：分别负责铁杆庄稼保、乡村振兴“健康保”、“百姓保”等保险政策宣传。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“富民贷”推广工作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县农业农村局：按照工作要求，负责做好“富民贷”推广工作。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三、社会管理（</w:t>
            </w:r>
            <w:r>
              <w:rPr>
                <w:rStyle w:val="20"/>
                <w:rFonts w:ascii="Times New Roman" w:hAnsi="Times New Roman" w:eastAsia="方正公文黑体" w:cs="Times New Roman"/>
                <w:b w:val="0"/>
                <w:bCs w:val="0"/>
                <w:color w:val="auto"/>
                <w:lang w:val="en-US" w:eastAsia="zh-CN"/>
              </w:rPr>
              <w:t>7项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就业帮扶培训</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县人力资源和社会保障局：负责组织开展就业帮扶培训。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县人力资源和社会保障局：负责劳动力转移就业情况录入和维护及跟踪服务。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单位招用人员就业登记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县人力资源和社会保障局：负责办理单位招用人员就业登记及相关事宜。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工伤认定调查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县人力资源和社会保障局：负责工伤认定调查。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社会抚养费征收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城乡供水水费收缴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default" w:ascii="Times New Roman" w:hAnsi="Times New Roman" w:eastAsia="方正公文仿宋" w:cs="Times New Roman"/>
                <w:i w:val="0"/>
                <w:snapToGrid w:val="0"/>
                <w:color w:val="000000"/>
                <w:kern w:val="0"/>
                <w:sz w:val="21"/>
                <w:szCs w:val="21"/>
                <w:u w:val="none"/>
                <w:lang w:val="en-US" w:eastAsia="zh-CN" w:bidi="ar"/>
              </w:rPr>
              <w:t>县水务局：负责委托第三方水投公司组织收缴</w:t>
            </w:r>
            <w:r>
              <w:rPr>
                <w:rFonts w:hint="eastAsia" w:ascii="Times New Roman" w:hAnsi="Times New Roman" w:eastAsia="方正公文仿宋" w:cs="Times New Roman"/>
                <w:i w:val="0"/>
                <w:snapToGrid w:val="0"/>
                <w:color w:val="000000"/>
                <w:kern w:val="0"/>
                <w:sz w:val="21"/>
                <w:szCs w:val="21"/>
                <w:u w:val="none"/>
                <w:lang w:val="en-US" w:eastAsia="zh-CN" w:bidi="ar"/>
              </w:rPr>
              <w:t>水费</w:t>
            </w:r>
            <w:r>
              <w:rPr>
                <w:rFonts w:hint="default" w:ascii="Times New Roman" w:hAnsi="Times New Roman" w:eastAsia="方正公文仿宋" w:cs="Times New Roman"/>
                <w:i w:val="0"/>
                <w:snapToGrid w:val="0"/>
                <w:color w:val="000000"/>
                <w:kern w:val="0"/>
                <w:sz w:val="21"/>
                <w:szCs w:val="21"/>
                <w:u w:val="none"/>
                <w:lang w:val="en-US" w:eastAsia="zh-CN" w:bidi="ar"/>
              </w:rPr>
              <w:t>；收缴资金纳入财政专户管理。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保障农民工工资支付</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保障农民工工资支付工作的组织协调、管理指导和农民工工资支付情况的监督检查，查处有关拖欠农民工工资案件，督促各工程建设主管部门履行行业监管责任，督办因违法发包、转包、分包、挂靠、拖欠工程款等导致的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四、社会保障（</w:t>
            </w:r>
            <w:r>
              <w:rPr>
                <w:rStyle w:val="20"/>
                <w:rFonts w:ascii="Times New Roman" w:hAnsi="Times New Roman" w:eastAsia="方正公文黑体" w:cs="Times New Roman"/>
                <w:b w:val="0"/>
                <w:bCs w:val="0"/>
                <w:color w:val="auto"/>
                <w:lang w:val="en-US" w:eastAsia="zh-CN"/>
              </w:rPr>
              <w:t>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县人力资源和社会保障局：负责城乡居民基本医疗保险已缴费人员统计。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对擅自新建殡葬设施的处罚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县民政和退役军人事务局：负责对未经批准擅自兴建殡葬设施行为的监督管理，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对采取虚报、隐瞒、伪造等手段，骗取享受城乡居民最低生活保障待遇等情形的处罚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县民政和退役军人事务局：负责对采取虚报、隐瞒、伪造等手段，骗取享受城乡居民最低生活保障待遇等情形监督管理，发现上述行为依法予以查处。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每季度统计全乡新婚人数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县民政和退役军人事务局：负责新婚人数统计。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对特困人员生活自理能力评估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县民政和退役军人事务局：对特困人员生活自理能力进行评估。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对违规领取各类社会救助资金的追缴工作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县民政和退役军人事务局：负责对违规领取各类社会救助资金的追缴工作。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五、自然资源（</w:t>
            </w:r>
            <w:r>
              <w:rPr>
                <w:rStyle w:val="20"/>
                <w:rFonts w:ascii="Times New Roman" w:hAnsi="Times New Roman" w:eastAsia="方正公文黑体" w:cs="Times New Roman"/>
                <w:b w:val="0"/>
                <w:bCs w:val="0"/>
                <w:color w:val="auto"/>
                <w:lang w:val="en-US" w:eastAsia="zh-CN"/>
              </w:rPr>
              <w:t>26项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耕地属性判定、基本农田区域划定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县自然资源局：负责会同农业农村局组织实施耕地属性判定、基本农田区域划定。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县林业和草原局：负责对在草原管理、保护、建设、合理利用和科学研究等工作中做出显著成绩的单位和个人的奖励。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出具群众苗木种植情况、树木种类、苗木销售、苗木检疫等证明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w:t>
            </w:r>
            <w:r>
              <w:rPr>
                <w:rFonts w:ascii="Times New Roman" w:hAnsi="Times New Roman" w:eastAsia="方正公文仿宋" w:cs="Times New Roman"/>
                <w:i w:val="0"/>
                <w:snapToGrid w:val="0"/>
                <w:color w:val="000000"/>
                <w:kern w:val="0"/>
                <w:sz w:val="21"/>
                <w:szCs w:val="21"/>
                <w:u w:val="none"/>
                <w:lang w:val="en-US" w:eastAsia="zh-CN"/>
              </w:rPr>
              <w:t>负责出具群众苗木种植情况、树木种类、苗木销售、苗木检疫等证明。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对林业有害生物的监测、检疫、防治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县林业和草原局：负责对林业有害生物的监测、检疫、防治。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县林业和草原局：负责代为恢复植被和林业生产条件或代为补种树木。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水工程安全管理监督检查（对水库大坝的定期检查和监督管理）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县水务局：做好水工程领域水库大坝的定期检查和监督管理。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县自然资源局：加强对临时建设和临时用地的监督检查。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对非法占用土地的处罚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县农业农村局：负责对非法占用土地行为的监督管理，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县自然资源局：负责对破坏或者擅自改变基本农田保护区标志的违法行为监管，</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县林业和草原局：负责对在森林防火期、森林防火区内擅自野外用火行为的监督管理，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县林业和草原局：负责对禁牧期和禁牧区域放牧或者休牧期、轮牧区抢牧、滥牧行为的监督管理，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县林业和草原局：负责对临时占用林地逾期不归还行为的监督管理，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县林业和草原局：负责对收购没有林木采伐许可证或者其他合法来源证明的木材行为的监督管理，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县林业和草原局：负责对未采取防沙治沙措施造成土地严重沙化行为的监督管理，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县林业和草原局：负责对在幼林地砍柴、毁苗、放牧造成林木毁坏行为的监督管理，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县水务局：负责对围湖造地或者未经批准围垦河道阻碍行洪等行为的监督管理，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县水务局：负责对未经批准擅自取水或未依照批准的取水许可规定条件取水行为的监督管理，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县水务局：负责对侵占、毁坏水工程及水利设施、从事影响水利工程安全行为的监督管理，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县水务局：负责对侵占、破坏水源和抗旱设施行为的监督管理，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县水务局：负责对单位和个人占用行水、蓄水区域或因生产、集市贸易或者其他活动使行洪沟道成为通行道行为的监督管理，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县水务局：负责对未经批准，擅自在水工程管理范围内开采地下资源或者进行考古发掘等行为的监督管理，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县水务局：负责对在崩塌、滑坡危险区或者泥石流易发区从事取土、挖砂、采石等可能造成水土流失的行为的监督管理，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县水务局：负责对在禁止开垦坡度以上陡坡地开垦种植农作物或者在禁止开垦、开发的植物保护带内开垦、开发行为的监督管理，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县水务局：负责对采集发菜或者在水土流失重点预防区和重点治理区铲草皮、挖树兜、滥挖虫草、甘草、麻黄等行为的监督管理，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县水务局：负责对在河流、湖泊、水库、渠道以及专门存放地以外的沟道倾倒固体废弃物行为的监督管理，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拆除禁牧区域内私搭乱建羊圈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县林业和草原局：负责拆除禁牧区域内私搭乱建羊圈。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六、生态环保（</w:t>
            </w:r>
            <w:r>
              <w:rPr>
                <w:rStyle w:val="20"/>
                <w:rFonts w:ascii="Times New Roman" w:hAnsi="Times New Roman" w:eastAsia="方正公文黑体" w:cs="Times New Roman"/>
                <w:b w:val="0"/>
                <w:bCs w:val="0"/>
                <w:color w:val="auto"/>
                <w:lang w:val="en-US" w:eastAsia="zh-CN"/>
              </w:rPr>
              <w:t>10项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国省干线用地范围内环境整治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宁夏公路管理中心固原分中心：按照工作要求，对国省干线用地范围内环境整治。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河道私设排污口监管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固原市生态环境局泾源分局：负责本行政区域入河排污口设置审批、登记和监督管理。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辖区内蓄水池、水源、河道维护清淤工作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w:t>
            </w:r>
            <w:r>
              <w:rPr>
                <w:rFonts w:hint="eastAsia" w:ascii="Times New Roman" w:hAnsi="Times New Roman" w:eastAsia="方正公文仿宋" w:cs="Times New Roman"/>
                <w:i w:val="0"/>
                <w:snapToGrid w:val="0"/>
                <w:color w:val="auto"/>
                <w:kern w:val="0"/>
                <w:sz w:val="21"/>
                <w:szCs w:val="21"/>
                <w:u w:val="none"/>
                <w:lang w:val="en-US" w:eastAsia="zh-CN"/>
              </w:rPr>
              <w:t>负责</w:t>
            </w:r>
            <w:r>
              <w:rPr>
                <w:rFonts w:hint="eastAsia" w:ascii="Times New Roman" w:hAnsi="Times New Roman" w:eastAsia="方正公文仿宋" w:cs="Times New Roman"/>
                <w:i w:val="0"/>
                <w:snapToGrid w:val="0"/>
                <w:color w:val="000000"/>
                <w:kern w:val="0"/>
                <w:sz w:val="21"/>
                <w:szCs w:val="21"/>
                <w:u w:val="none"/>
                <w:lang w:val="en-US" w:eastAsia="zh-CN"/>
              </w:rPr>
              <w:t>对河道清淤项目的招投标；组织实施清淤项目；监督检查施工进度；完成清淤项目验收及资金兑付。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燃煤锅炉、工业窑炉排查整治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固原市生态环境局泾源分局：组织开展排查，研究制定排查整治实施方案，明确排查范围、标准，整治工作计划、技术路线、经费保障等并组织实施。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清理企业违法违规产能</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县工业信息化和商务局：按照职责分工负责组织开展清理违法违规产能，明确淘汰和落后过剩产能标准并列出名单，依法依规对行政许可手续不全、责令整改不达标的企业予以查处。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固原市生态环境局泾源分局：负责开展辖区内非道路机械摸排、登记工作。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辖区施工企业环境卫生备案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县城乡建设和交通运输局：负责开展施工企业环境卫生备案工作。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县农业农村局：负责对在县级以上人民政府划定区域内露天焚烧秸秆、落叶、枯草等产生烟尘污染的物质行为的监督管理，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七、城乡建设（</w:t>
            </w:r>
            <w:r>
              <w:rPr>
                <w:rStyle w:val="20"/>
                <w:rFonts w:hint="eastAsia" w:ascii="Times New Roman" w:hAnsi="Times New Roman" w:eastAsia="方正公文黑体" w:cs="Times New Roman"/>
                <w:b w:val="0"/>
                <w:bCs w:val="0"/>
                <w:color w:val="auto"/>
                <w:lang w:val="en-US" w:eastAsia="zh-CN"/>
              </w:rPr>
              <w:t>15</w:t>
            </w:r>
            <w:r>
              <w:rPr>
                <w:rStyle w:val="20"/>
                <w:rFonts w:ascii="Times New Roman" w:hAnsi="Times New Roman" w:eastAsia="方正公文黑体" w:cs="Times New Roman"/>
                <w:b w:val="0"/>
                <w:bCs w:val="0"/>
                <w:color w:val="auto"/>
                <w:lang w:val="en-US" w:eastAsia="zh-CN"/>
              </w:rPr>
              <w:t>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旅游厕所建设和管理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县文化旅游广电局：负责配备专门人员、资金等对旅游公厕进行管理和建设。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辖区农村公路施工活动审批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县城乡建设和交通运输局：负责做好辖区农村公路施工活动审批工作。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县自然资源局：负责对临时建筑物、构筑物和其他设施限期拆除期满仍不拆除的强制拆除。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县自然资源局：负责对建设单位和个人未经批准进行临时建设、未按照批准内容进行临时建设、临时建筑物、构筑物超过批准权限不拆除等行为的监督管理，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县自然资源局：负责对未取得建设工程规划许可证或者未按照建设工程规划许可证的规定进行建设的行为的监督管理，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县城乡建设和交通运输局：负责对随意倾倒、抛洒、堆放城市生活垃圾等行为的监督管理，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县城乡建设和交通运输局：负责对从事城市生活垃圾经营性清扫、收集、运输的企业在运输过程中沿途丢弃、遗撒生活垃圾等行为的监督管理，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对物业服务企业将一个物业管理区域内的全部物业管理一并委托给他人的处罚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县城乡建设和交通运输局：负责对物业服务企业将一个物业管理区域内的全部物业管理一并委托给他人行为的监督管理，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县城乡建设和交通运输局：负责对建筑垃圾储运消纳场受纳工业垃圾、生活垃圾和有毒有害垃圾行为的监督管理，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县城乡建设和交通运输局：负责对施工单位未及时清运工程施工过程中产生的建筑垃圾行为的监督管理，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县城乡建设和交通运输局：负责对单位和个人随意倾倒、抛撒或者堆放建筑垃圾行为的监督管理，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县城乡建设和交通运输局：负责对在运输建筑垃圾过程中沿途丢弃、遗撒建筑垃圾行为的监督管理，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县城乡建设和交通运输局：负责对擅自拆除、迁移环境卫生设施行为的监督管理，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对在公共场所随地吐痰、擤鼻涕、便溺的；单位或者个人违反《城市市容和环境卫生管理条例》规定，在市区内饲养家畜家禽的处罚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县城乡建设和交通运输局：负责对在公共场所随地吐痰、擤鼻涕、便溺的；单位或者个人违反《城市市容和环境卫生管理条例》规定，在市区内饲养家畜家禽的等行为的监督管理，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八、卫生健康（</w:t>
            </w:r>
            <w:r>
              <w:rPr>
                <w:rStyle w:val="20"/>
                <w:rFonts w:ascii="Times New Roman" w:hAnsi="Times New Roman" w:eastAsia="方正公文黑体" w:cs="Times New Roman"/>
                <w:b w:val="0"/>
                <w:bCs w:val="0"/>
                <w:color w:val="auto"/>
                <w:lang w:val="en-US" w:eastAsia="zh-CN"/>
              </w:rPr>
              <w:t>1项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68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县卫生健康局：负责对在禁止吸烟场所吸烟等行为的监督管理，发现上述行为依法予以查处。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九、应急管理及消防（</w:t>
            </w:r>
            <w:r>
              <w:rPr>
                <w:rStyle w:val="20"/>
                <w:rFonts w:ascii="Times New Roman" w:hAnsi="Times New Roman" w:eastAsia="方正公文黑体" w:cs="Times New Roman"/>
                <w:b w:val="0"/>
                <w:bCs w:val="0"/>
                <w:color w:val="auto"/>
                <w:lang w:val="en-US" w:eastAsia="zh-CN"/>
              </w:rPr>
              <w:t>9项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lang w:val="en-US" w:eastAsia="zh-CN"/>
              </w:rPr>
            </w:pPr>
            <w:r>
              <w:rPr>
                <w:rFonts w:ascii="Times New Roman" w:hAnsi="Times New Roman" w:eastAsia="方正公文仿宋" w:cs="Times New Roman"/>
                <w:i w:val="0"/>
                <w:snapToGrid w:val="0"/>
                <w:color w:val="000000"/>
                <w:kern w:val="0"/>
                <w:sz w:val="21"/>
                <w:szCs w:val="21"/>
                <w:u w:val="none"/>
                <w:lang w:val="en-US" w:eastAsia="zh-CN"/>
              </w:rPr>
              <w:t>69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危险化学品排查整治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县应急管理局：负责加强危险化学品安全监管。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建立微型消防站</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县消防救援大队：负责建立微型消防站。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县应急管理局：负责对粉尘涉爆企业实施安全监督管理。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县消防救援大队：负责对占用、堵塞、封闭疏散通道、安全出口或者有其他妨碍安全疏散等行为的监督管理，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县消防救援大队：负责对埋压、圈占、遮挡消火栓或者占用防火间距等行为的监督管理，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县消防救援大队：负责对占用、堵塞、封闭消防车通道、妨碍消防车通行等行为的监督管理，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县消防救援大队：负责对人员密集场所在门窗上设置影响疏散逃生和灭火救援的障碍物等行为的监督管理，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县消防救援大队：负责对在高层民用建筑的公共门厅、疏散走道、楼梯间、安全出口停放电动自行车或者为电动自行车充电，拒不改正等行为的监督管理，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县应急管理局、县工业信息化和商务局：</w:t>
            </w:r>
            <w:r>
              <w:rPr>
                <w:rFonts w:ascii="Times New Roman" w:hAnsi="Times New Roman" w:eastAsia="方正公文仿宋" w:cs="Times New Roman"/>
                <w:i w:val="0"/>
                <w:snapToGrid w:val="0"/>
                <w:color w:val="000000"/>
                <w:kern w:val="0"/>
                <w:sz w:val="21"/>
                <w:szCs w:val="21"/>
                <w:u w:val="none"/>
                <w:lang w:eastAsia="zh-CN"/>
              </w:rPr>
              <w:t>按照职责分工，</w:t>
            </w:r>
            <w:r>
              <w:rPr>
                <w:rFonts w:hint="eastAsia" w:ascii="Times New Roman" w:hAnsi="Times New Roman" w:eastAsia="方正公文仿宋" w:cs="Times New Roman"/>
                <w:i w:val="0"/>
                <w:snapToGrid w:val="0"/>
                <w:color w:val="000000"/>
                <w:kern w:val="0"/>
                <w:sz w:val="21"/>
                <w:szCs w:val="21"/>
                <w:u w:val="none"/>
                <w:lang w:val="en-US" w:eastAsia="zh-CN"/>
              </w:rPr>
              <w:t>负责对全县加油站开展安全生产监督检查。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十、市场监管（</w:t>
            </w:r>
            <w:r>
              <w:rPr>
                <w:rStyle w:val="20"/>
                <w:rFonts w:ascii="Times New Roman" w:hAnsi="Times New Roman" w:eastAsia="方正公文黑体" w:cs="Times New Roman"/>
                <w:b w:val="0"/>
                <w:bCs w:val="0"/>
                <w:color w:val="auto"/>
                <w:lang w:val="en-US" w:eastAsia="zh-CN"/>
              </w:rPr>
              <w:t>4项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烟花爆竹许可证书办理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县应急管理局：负责办理烟花爆竹许可证书。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县市场监督管理局：负责特种设备专项整治和监管执法。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特种设备事故调查处理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县市场监督管理局：负责特种设备事故调查处理。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对特种设备事故应急处置</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县市场监督管理局：负责对特种设备事故应急处置。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十一、教育培训监管（</w:t>
            </w:r>
            <w:r>
              <w:rPr>
                <w:rStyle w:val="20"/>
                <w:rFonts w:ascii="Times New Roman" w:hAnsi="Times New Roman" w:eastAsia="方正公文黑体" w:cs="Times New Roman"/>
                <w:b w:val="0"/>
                <w:bCs w:val="0"/>
                <w:color w:val="auto"/>
                <w:lang w:val="en-US" w:eastAsia="zh-CN"/>
              </w:rPr>
              <w:t>3项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县教育体育局：负责出具适龄儿童、少年到非户籍所在地入学申请证明。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适龄儿童、少年因身体状况需要延缓入学或者休学审批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县教育体育局：负责对适龄儿童、少年因身体状况需要延缓入学或者休学的进行审批。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涉校涉生安全管理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县教育体育局：负责开展学校安全生产排查、隐患整改等工作。</w:t>
            </w:r>
          </w:p>
        </w:tc>
      </w:tr>
    </w:tbl>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spacing w:val="7"/>
          <w:lang w:eastAsia="zh-CN"/>
        </w:rPr>
      </w:pPr>
    </w:p>
    <w:p>
      <w:pPr>
        <w:pageBreakBefore w:val="0"/>
        <w:widowControl/>
        <w:kinsoku/>
        <w:wordWrap/>
        <w:overflowPunct/>
        <w:topLinePunct w:val="0"/>
        <w:autoSpaceDE w:val="0"/>
        <w:autoSpaceDN w:val="0"/>
        <w:bidi w:val="0"/>
        <w:adjustRightInd w:val="0"/>
        <w:snapToGrid w:val="0"/>
        <w:rPr>
          <w:rFonts w:ascii="Times New Roman" w:hAnsi="Times New Roman" w:eastAsia="等线" w:cs="Times New Roman"/>
          <w:lang w:eastAsia="zh-CN"/>
        </w:rPr>
      </w:pPr>
    </w:p>
    <w:p>
      <w:pPr>
        <w:pStyle w:val="2"/>
        <w:rPr>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auto"/>
    <w:pitch w:val="default"/>
    <w:sig w:usb0="00000000" w:usb1="00000000" w:usb2="00000000" w:usb3="00000000" w:csb0="20000001" w:csb1="00000000"/>
  </w:font>
  <w:font w:name="文泉驿正黑">
    <w:altName w:val="方正黑体_GBK"/>
    <w:panose1 w:val="02000603000000000000"/>
    <w:charset w:val="86"/>
    <w:family w:val="script"/>
    <w:pitch w:val="default"/>
    <w:sig w:usb0="00000000" w:usb1="00000000" w:usb2="00000036" w:usb3="00000000" w:csb0="603E000D" w:csb1="D2D70000"/>
  </w:font>
  <w:font w:name="等线">
    <w:altName w:val="方正黑体_GBK"/>
    <w:panose1 w:val="02010600030101010101"/>
    <w:charset w:val="86"/>
    <w:family w:val="auto"/>
    <w:pitch w:val="default"/>
    <w:sig w:usb0="00000000" w:usb1="00000000" w:usb2="00000016" w:usb3="00000000" w:csb0="0004000F" w:csb1="00000000"/>
  </w:font>
  <w:font w:name="方正公文仿宋">
    <w:altName w:val="方正仿宋_GBK"/>
    <w:panose1 w:val="02000000000000000000"/>
    <w:charset w:val="86"/>
    <w:family w:val="auto"/>
    <w:pitch w:val="default"/>
    <w:sig w:usb0="00000000" w:usb1="00000000" w:usb2="00000000" w:usb3="00000000" w:csb0="00040000" w:csb1="00000000"/>
  </w:font>
  <w:font w:name="等线 Light">
    <w:altName w:val="方正黑体_GBK"/>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公文小标宋">
    <w:altName w:val="方正小标宋_GBK"/>
    <w:panose1 w:val="02000000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eastAsia="宋体"/>
      </w:rPr>
    </w:pPr>
    <w:r>
      <w:rPr>
        <w:lang w:eastAsia="zh-CN"/>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76200" cy="260350"/>
              <wp:effectExtent l="0" t="0" r="0" b="0"/>
              <wp:wrapNone/>
              <wp:docPr id="1" name="文本框 1"/>
              <wp:cNvGraphicFramePr/>
              <a:graphic xmlns:a="http://schemas.openxmlformats.org/drawingml/2006/main">
                <a:graphicData uri="http://schemas.microsoft.com/office/word/2010/wordprocessingShape">
                  <wps:wsp>
                    <wps:cNvSpPr/>
                    <wps:spPr>
                      <a:xfrm>
                        <a:off x="0" y="0"/>
                        <a:ext cx="76200" cy="260449"/>
                      </a:xfrm>
                      <a:prstGeom prst="rect">
                        <a:avLst/>
                      </a:prstGeom>
                      <a:noFill/>
                      <a:ln cap="flat" cmpd="sng">
                        <a:noFill/>
                        <a:prstDash val="solid"/>
                        <a:round/>
                      </a:ln>
                    </wps:spPr>
                    <wps:txbx>
                      <w:txbxContent>
                        <w:p>
                          <w:pPr>
                            <w:pStyle w:val="8"/>
                            <w:rPr>
                              <w:rStyle w:val="14"/>
                              <w:rFonts w:ascii="宋体" w:hAnsi="宋体" w:eastAsia="宋体"/>
                              <w:sz w:val="28"/>
                              <w:szCs w:val="28"/>
                            </w:rPr>
                          </w:pP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20.5pt;width:6pt;mso-position-horizontal:center;mso-position-horizontal-relative:margin;mso-wrap-style:none;z-index:1024;mso-width-relative:page;mso-height-relative:page;" filled="f" stroked="f" coordsize="21600,21600" o:gfxdata="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sA/570AAAAAMBAAAPAAAAAAAAAAEAIAAAADgAAABkcnMvZG93bnJldi54bWxQSwECFAAU&#10;AAAACACHTuJAnKSlGeMBAACkAwAADgAAAAAAAAABACAAAAA1AQAAZHJzL2Uyb0RvYy54bWxQSwUG&#10;AAAAAAYABgBZAQAAigUAAAAA&#10;">
              <v:fill on="f" focussize="0,0"/>
              <v:stroke on="f" joinstyle="round"/>
              <v:imagedata o:title=""/>
              <o:lock v:ext="edit" aspectratio="f"/>
              <v:textbox inset="0mm,0mm,0mm,0mm" style="mso-fit-shape-to-text:t;">
                <w:txbxContent>
                  <w:p>
                    <w:pPr>
                      <w:pStyle w:val="8"/>
                      <w:rPr>
                        <w:rStyle w:val="14"/>
                        <w:rFonts w:ascii="宋体" w:hAnsi="宋体" w:eastAsia="宋体"/>
                        <w:sz w:val="28"/>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10"/>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5D2417B7"/>
    <w:rsid w:val="5FFBDD76"/>
    <w:rsid w:val="BDFBF4BB"/>
    <w:rsid w:val="EF9F8872"/>
    <w:rsid w:val="FEDF6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文泉驿正黑" w:hAnsi="文泉驿正黑" w:eastAsia="黑体"/>
      <w:b/>
      <w:bCs/>
      <w:sz w:val="32"/>
      <w:szCs w:val="32"/>
    </w:rPr>
  </w:style>
  <w:style w:type="paragraph" w:styleId="5">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6">
    <w:name w:val="Body Text"/>
    <w:basedOn w:val="1"/>
    <w:qFormat/>
    <w:uiPriority w:val="0"/>
  </w:style>
  <w:style w:type="paragraph" w:styleId="7">
    <w:name w:val="toc 3"/>
    <w:basedOn w:val="1"/>
    <w:next w:val="1"/>
    <w:qFormat/>
    <w:uiPriority w:val="0"/>
    <w:pPr>
      <w:kinsoku/>
      <w:autoSpaceDE/>
      <w:autoSpaceDN/>
      <w:adjustRightInd/>
      <w:snapToGrid/>
      <w:spacing w:after="100" w:line="259" w:lineRule="auto"/>
      <w:ind w:left="440"/>
      <w:textAlignment w:val="auto"/>
    </w:pPr>
    <w:rPr>
      <w:rFonts w:ascii="等线" w:hAnsi="等线" w:eastAsia="等线" w:cs="Times New Roman"/>
      <w:snapToGrid/>
      <w:color w:val="auto"/>
      <w:sz w:val="22"/>
      <w:szCs w:val="22"/>
      <w:lang w:eastAsia="zh-CN"/>
    </w:rPr>
  </w:style>
  <w:style w:type="paragraph" w:styleId="8">
    <w:name w:val="footer"/>
    <w:basedOn w:val="1"/>
    <w:qFormat/>
    <w:uiPriority w:val="0"/>
    <w:pPr>
      <w:tabs>
        <w:tab w:val="center" w:pos="4153"/>
        <w:tab w:val="right" w:pos="8306"/>
      </w:tabs>
    </w:pPr>
    <w:rPr>
      <w:sz w:val="18"/>
      <w:szCs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0"/>
    <w:pPr>
      <w:numPr>
        <w:ilvl w:val="0"/>
        <w:numId w:val="1"/>
      </w:numPr>
    </w:pPr>
    <w:rPr>
      <w:rFonts w:ascii="Times New Roman" w:hAnsi="Times New Roman" w:eastAsia="方正公文仿宋"/>
      <w:sz w:val="32"/>
    </w:rPr>
  </w:style>
  <w:style w:type="paragraph" w:styleId="11">
    <w:name w:val="toc 2"/>
    <w:basedOn w:val="1"/>
    <w:next w:val="1"/>
    <w:qFormat/>
    <w:uiPriority w:val="0"/>
    <w:pPr>
      <w:kinsoku/>
      <w:autoSpaceDE/>
      <w:autoSpaceDN/>
      <w:adjustRightInd/>
      <w:snapToGrid/>
      <w:spacing w:after="100" w:line="259" w:lineRule="auto"/>
      <w:ind w:left="220"/>
      <w:textAlignment w:val="auto"/>
    </w:pPr>
    <w:rPr>
      <w:rFonts w:ascii="等线" w:hAnsi="等线" w:eastAsia="等线" w:cs="Times New Roman"/>
      <w:snapToGrid/>
      <w:color w:val="auto"/>
      <w:sz w:val="22"/>
      <w:szCs w:val="22"/>
      <w:lang w:eastAsia="zh-CN"/>
    </w:rPr>
  </w:style>
  <w:style w:type="character" w:styleId="14">
    <w:name w:val="page number"/>
    <w:qFormat/>
    <w:uiPriority w:val="0"/>
  </w:style>
  <w:style w:type="character" w:styleId="15">
    <w:name w:val="Hyperlink"/>
    <w:basedOn w:val="13"/>
    <w:qFormat/>
    <w:uiPriority w:val="0"/>
    <w:rPr>
      <w:color w:val="0563C1"/>
      <w:u w:val="single"/>
    </w:rPr>
  </w:style>
  <w:style w:type="character" w:customStyle="1" w:styleId="16">
    <w:name w:val="heading 1 Char"/>
    <w:basedOn w:val="13"/>
    <w:link w:val="3"/>
    <w:qFormat/>
    <w:uiPriority w:val="0"/>
    <w:rPr>
      <w:rFonts w:ascii="Arial" w:hAnsi="Arial" w:eastAsia="Arial" w:cs="Arial"/>
      <w:b/>
      <w:bCs/>
      <w:snapToGrid w:val="0"/>
      <w:color w:val="000000"/>
      <w:kern w:val="44"/>
      <w:sz w:val="44"/>
      <w:szCs w:val="44"/>
      <w:lang w:val="en-US" w:bidi="ar-SA"/>
    </w:rPr>
  </w:style>
  <w:style w:type="character" w:customStyle="1" w:styleId="17">
    <w:name w:val="heading 2 Char"/>
    <w:basedOn w:val="13"/>
    <w:link w:val="4"/>
    <w:qFormat/>
    <w:uiPriority w:val="0"/>
    <w:rPr>
      <w:rFonts w:ascii="文泉驿正黑" w:hAnsi="Arial" w:eastAsia="黑体" w:cs="Arial"/>
      <w:b/>
      <w:bCs/>
      <w:snapToGrid w:val="0"/>
      <w:color w:val="000000"/>
      <w:kern w:val="0"/>
      <w:sz w:val="32"/>
      <w:szCs w:val="32"/>
      <w:lang w:val="en-US" w:bidi="ar-SA"/>
    </w:rPr>
  </w:style>
  <w:style w:type="character" w:customStyle="1" w:styleId="18">
    <w:name w:val="heading 3 Char"/>
    <w:basedOn w:val="13"/>
    <w:link w:val="5"/>
    <w:qFormat/>
    <w:uiPriority w:val="0"/>
    <w:rPr>
      <w:rFonts w:ascii="Arial" w:hAnsi="Arial" w:eastAsia="Arial" w:cs="Arial"/>
      <w:b/>
      <w:bCs/>
      <w:snapToGrid w:val="0"/>
      <w:color w:val="000000"/>
      <w:kern w:val="0"/>
      <w:sz w:val="32"/>
      <w:szCs w:val="32"/>
      <w:lang w:val="en-US" w:bidi="ar-SA"/>
    </w:rPr>
  </w:style>
  <w:style w:type="paragraph" w:customStyle="1" w:styleId="19">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0">
    <w:name w:val="font21"/>
    <w:qFormat/>
    <w:uiPriority w:val="0"/>
    <w:rPr>
      <w:rFonts w:ascii="Times New Roman" w:hAnsi="Times New Roman" w:cs="Times New Roman"/>
      <w:color w:val="000000"/>
      <w:sz w:val="24"/>
      <w:szCs w:val="24"/>
      <w:u w:val="none"/>
    </w:rPr>
  </w:style>
  <w:style w:type="character" w:customStyle="1" w:styleId="21">
    <w:name w:val="font101"/>
    <w:qFormat/>
    <w:uiPriority w:val="0"/>
    <w:rPr>
      <w:rFonts w:ascii="Times New Roman" w:hAnsi="Times New Roman" w:cs="Times New Roman"/>
      <w:color w:val="000000"/>
      <w:sz w:val="22"/>
      <w:szCs w:val="22"/>
      <w:u w:val="none"/>
    </w:rPr>
  </w:style>
  <w:style w:type="paragraph" w:customStyle="1" w:styleId="22">
    <w:name w:val="TOC Heading"/>
    <w:basedOn w:val="3"/>
    <w:next w:val="1"/>
    <w:qFormat/>
    <w:uiPriority w:val="0"/>
    <w:pPr>
      <w:kinsoku/>
      <w:autoSpaceDE/>
      <w:autoSpaceDN/>
      <w:adjustRightInd/>
      <w:snapToGrid/>
      <w:spacing w:before="240" w:after="0" w:line="259" w:lineRule="auto"/>
      <w:textAlignment w:val="auto"/>
      <w:outlineLvl w:val="9"/>
    </w:pPr>
    <w:rPr>
      <w:rFonts w:ascii="等线 Light" w:hAnsi="等线 Light" w:eastAsia="等线 Light" w:cs="Times New Roman"/>
      <w:b w:val="0"/>
      <w:bCs w:val="0"/>
      <w:snapToGrid/>
      <w:color w:val="2E75B6"/>
      <w:kern w:val="0"/>
      <w:sz w:val="32"/>
      <w:szCs w:val="32"/>
      <w:lang w:eastAsia="zh-CN"/>
    </w:rPr>
  </w:style>
  <w:style w:type="character" w:customStyle="1" w:styleId="23">
    <w:name w:val="font01"/>
    <w:basedOn w:val="13"/>
    <w:qFormat/>
    <w:uiPriority w:val="0"/>
    <w:rPr>
      <w:rFonts w:ascii="仿宋_GB2312" w:eastAsia="仿宋_GB2312" w:cs="仿宋_GB2312"/>
      <w:b/>
      <w:color w:val="000000"/>
      <w:sz w:val="32"/>
      <w:szCs w:val="32"/>
      <w:u w:val="none"/>
    </w:rPr>
  </w:style>
  <w:style w:type="character" w:customStyle="1" w:styleId="24">
    <w:name w:val="font11"/>
    <w:basedOn w:val="13"/>
    <w:qFormat/>
    <w:uiPriority w:val="0"/>
    <w:rPr>
      <w:rFonts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55</Pages>
  <Words>0</Words>
  <Characters>28889</Characters>
  <Lines>0</Lines>
  <Paragraphs>27</Paragraphs>
  <TotalTime>0</TotalTime>
  <ScaleCrop>false</ScaleCrop>
  <LinksUpToDate>false</LinksUpToDate>
  <CharactersWithSpaces>38519</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2024-07-19T20:59:00Z</dcterms:created>
  <dc:creator>liuhl</dc:creator>
  <cp:lastModifiedBy>guyuan</cp:lastModifiedBy>
  <cp:lastPrinted>2025-04-24T02:24:00Z</cp:lastPrinted>
  <dcterms:modified xsi:type="dcterms:W3CDTF">2026-03-12T10:49:47Z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eyJoZGlkIjoiNDI2NjUzZTdhMGNjMmY0ZmJjYWJlNzAwMTFhMjE2ZDUiLCJ1c2VySWQiOiIzMTM2NDMxMTAifQ==</vt:lpwstr>
  </property>
  <property fmtid="{D5CDD505-2E9C-101B-9397-08002B2CF9AE}" pid="4" name="ICV">
    <vt:lpwstr>8DC5B1E5CDA14F5D938772A28ED9784F_13</vt:lpwstr>
  </property>
</Properties>
</file>